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B4649C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4649C">
        <w:rPr>
          <w:rFonts w:ascii="Times New Roman" w:hAnsi="Times New Roman"/>
          <w:b/>
          <w:sz w:val="26"/>
          <w:szCs w:val="26"/>
        </w:rPr>
        <w:t>PARECER JURÍDICO</w:t>
      </w:r>
    </w:p>
    <w:p w:rsidR="00167E99" w:rsidRPr="00B4649C" w:rsidRDefault="00167E99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5F6F2D" w:rsidRDefault="005F6F2D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25256B" w:rsidRPr="00B4649C" w:rsidRDefault="0025256B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B4649C" w:rsidRDefault="00167E99" w:rsidP="00661172">
      <w:pPr>
        <w:jc w:val="both"/>
        <w:rPr>
          <w:b/>
          <w:sz w:val="26"/>
          <w:szCs w:val="26"/>
        </w:rPr>
      </w:pPr>
      <w:r w:rsidRPr="00B4649C">
        <w:rPr>
          <w:b/>
          <w:sz w:val="26"/>
          <w:szCs w:val="26"/>
          <w:u w:val="single"/>
        </w:rPr>
        <w:t>REQUERENTE</w:t>
      </w:r>
      <w:r w:rsidRPr="00B4649C">
        <w:rPr>
          <w:b/>
          <w:sz w:val="26"/>
          <w:szCs w:val="26"/>
        </w:rPr>
        <w:t>: CÂMARA MUNICIPAL DE CLÁUDIO, ESTADO DE MINAS GERAIS.</w:t>
      </w:r>
    </w:p>
    <w:p w:rsidR="00167E99" w:rsidRPr="00B4649C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B4649C">
        <w:rPr>
          <w:b/>
          <w:iCs/>
          <w:sz w:val="26"/>
          <w:szCs w:val="26"/>
          <w:u w:val="single"/>
        </w:rPr>
        <w:t>SOLICITANTE</w:t>
      </w:r>
      <w:r w:rsidRPr="00B4649C">
        <w:rPr>
          <w:b/>
          <w:iCs/>
          <w:sz w:val="26"/>
          <w:szCs w:val="26"/>
        </w:rPr>
        <w:t>: PRESIDENTE DA CASA LEGISLATIVA.</w:t>
      </w:r>
    </w:p>
    <w:p w:rsidR="00167E99" w:rsidRPr="00B4649C" w:rsidRDefault="00167E99" w:rsidP="00661172">
      <w:pPr>
        <w:jc w:val="both"/>
        <w:rPr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ASSUNTO</w:t>
      </w:r>
      <w:r w:rsidRPr="00B4649C">
        <w:rPr>
          <w:b/>
          <w:sz w:val="26"/>
          <w:szCs w:val="26"/>
        </w:rPr>
        <w:t>: Projeto de Lei</w:t>
      </w:r>
      <w:r w:rsidR="000658B3" w:rsidRPr="00B4649C">
        <w:rPr>
          <w:b/>
          <w:sz w:val="26"/>
          <w:szCs w:val="26"/>
        </w:rPr>
        <w:t xml:space="preserve"> </w:t>
      </w:r>
      <w:r w:rsidR="001F357E" w:rsidRPr="00B4649C">
        <w:rPr>
          <w:b/>
          <w:sz w:val="26"/>
          <w:szCs w:val="26"/>
        </w:rPr>
        <w:t>2</w:t>
      </w:r>
      <w:r w:rsidR="00116C38" w:rsidRPr="00B4649C">
        <w:rPr>
          <w:b/>
          <w:sz w:val="26"/>
          <w:szCs w:val="26"/>
        </w:rPr>
        <w:t>6</w:t>
      </w:r>
      <w:r w:rsidRPr="00B4649C">
        <w:rPr>
          <w:b/>
          <w:sz w:val="26"/>
          <w:szCs w:val="26"/>
        </w:rPr>
        <w:t>/20</w:t>
      </w:r>
      <w:r w:rsidR="007035B4" w:rsidRPr="00B4649C">
        <w:rPr>
          <w:b/>
          <w:sz w:val="26"/>
          <w:szCs w:val="26"/>
        </w:rPr>
        <w:t>1</w:t>
      </w:r>
      <w:r w:rsidR="00B8199D" w:rsidRPr="00B4649C">
        <w:rPr>
          <w:b/>
          <w:sz w:val="26"/>
          <w:szCs w:val="26"/>
        </w:rPr>
        <w:t>7</w:t>
      </w:r>
      <w:r w:rsidRPr="00B4649C">
        <w:rPr>
          <w:b/>
          <w:sz w:val="26"/>
          <w:szCs w:val="26"/>
        </w:rPr>
        <w:t xml:space="preserve">, de </w:t>
      </w:r>
      <w:r w:rsidR="001F357E" w:rsidRPr="00B4649C">
        <w:rPr>
          <w:b/>
          <w:sz w:val="26"/>
          <w:szCs w:val="26"/>
        </w:rPr>
        <w:t>30</w:t>
      </w:r>
      <w:r w:rsidR="00FC2EB8" w:rsidRPr="00B4649C">
        <w:rPr>
          <w:b/>
          <w:sz w:val="26"/>
          <w:szCs w:val="26"/>
        </w:rPr>
        <w:t>.</w:t>
      </w:r>
      <w:r w:rsidR="001F357E" w:rsidRPr="00B4649C">
        <w:rPr>
          <w:b/>
          <w:sz w:val="26"/>
          <w:szCs w:val="26"/>
        </w:rPr>
        <w:t>11</w:t>
      </w:r>
      <w:r w:rsidR="00316B1A" w:rsidRPr="00B4649C">
        <w:rPr>
          <w:b/>
          <w:sz w:val="26"/>
          <w:szCs w:val="26"/>
        </w:rPr>
        <w:t>.</w:t>
      </w:r>
      <w:r w:rsidR="00BF04B8" w:rsidRPr="00B4649C">
        <w:rPr>
          <w:b/>
          <w:sz w:val="26"/>
          <w:szCs w:val="26"/>
        </w:rPr>
        <w:t>201</w:t>
      </w:r>
      <w:r w:rsidR="00B8199D" w:rsidRPr="00B4649C">
        <w:rPr>
          <w:b/>
          <w:sz w:val="26"/>
          <w:szCs w:val="26"/>
        </w:rPr>
        <w:t>7</w:t>
      </w:r>
      <w:r w:rsidRPr="00B4649C">
        <w:rPr>
          <w:b/>
          <w:sz w:val="26"/>
          <w:szCs w:val="26"/>
        </w:rPr>
        <w:t>,</w:t>
      </w:r>
      <w:r w:rsidR="0071591C" w:rsidRPr="00B4649C">
        <w:rPr>
          <w:b/>
          <w:sz w:val="26"/>
          <w:szCs w:val="26"/>
        </w:rPr>
        <w:t xml:space="preserve"> de autoria do poder </w:t>
      </w:r>
      <w:r w:rsidR="00CE6BF4" w:rsidRPr="00B4649C">
        <w:rPr>
          <w:b/>
          <w:sz w:val="26"/>
          <w:szCs w:val="26"/>
        </w:rPr>
        <w:t>Executivo</w:t>
      </w:r>
      <w:r w:rsidRPr="00B4649C">
        <w:rPr>
          <w:b/>
          <w:sz w:val="26"/>
          <w:szCs w:val="26"/>
        </w:rPr>
        <w:t xml:space="preserve"> que “</w:t>
      </w:r>
      <w:r w:rsidR="00CE6BF4" w:rsidRPr="00B4649C">
        <w:rPr>
          <w:b/>
          <w:i/>
          <w:sz w:val="26"/>
          <w:szCs w:val="26"/>
        </w:rPr>
        <w:t>A</w:t>
      </w:r>
      <w:r w:rsidR="004D29D5" w:rsidRPr="00B4649C">
        <w:rPr>
          <w:b/>
          <w:i/>
          <w:sz w:val="26"/>
          <w:szCs w:val="26"/>
        </w:rPr>
        <w:t xml:space="preserve">utoriza o Poder Executivo Municipal a </w:t>
      </w:r>
      <w:r w:rsidR="00502B4E" w:rsidRPr="00B4649C">
        <w:rPr>
          <w:b/>
          <w:i/>
          <w:sz w:val="26"/>
          <w:szCs w:val="26"/>
        </w:rPr>
        <w:t>des</w:t>
      </w:r>
      <w:r w:rsidR="00DD76AE" w:rsidRPr="00B4649C">
        <w:rPr>
          <w:b/>
          <w:i/>
          <w:sz w:val="26"/>
          <w:szCs w:val="26"/>
        </w:rPr>
        <w:t>a</w:t>
      </w:r>
      <w:r w:rsidR="00502B4E" w:rsidRPr="00B4649C">
        <w:rPr>
          <w:b/>
          <w:i/>
          <w:sz w:val="26"/>
          <w:szCs w:val="26"/>
        </w:rPr>
        <w:t xml:space="preserve">fetar de sua destinação original </w:t>
      </w:r>
      <w:r w:rsidR="001F357E" w:rsidRPr="00B4649C">
        <w:rPr>
          <w:b/>
          <w:i/>
          <w:sz w:val="26"/>
          <w:szCs w:val="26"/>
        </w:rPr>
        <w:t xml:space="preserve">parte de </w:t>
      </w:r>
      <w:r w:rsidR="00502B4E" w:rsidRPr="00B4649C">
        <w:rPr>
          <w:b/>
          <w:i/>
          <w:sz w:val="26"/>
          <w:szCs w:val="26"/>
        </w:rPr>
        <w:t xml:space="preserve">imóvel urbano de propriedade do Município e a aliená-lo </w:t>
      </w:r>
      <w:r w:rsidR="001F357E" w:rsidRPr="00B4649C">
        <w:rPr>
          <w:b/>
          <w:i/>
          <w:sz w:val="26"/>
          <w:szCs w:val="26"/>
        </w:rPr>
        <w:t xml:space="preserve">na forma específica e </w:t>
      </w:r>
      <w:r w:rsidR="00502B4E" w:rsidRPr="00B4649C">
        <w:rPr>
          <w:b/>
          <w:i/>
          <w:sz w:val="26"/>
          <w:szCs w:val="26"/>
        </w:rPr>
        <w:t>da outras providencias</w:t>
      </w:r>
      <w:r w:rsidR="0009062B" w:rsidRPr="00B4649C">
        <w:rPr>
          <w:b/>
          <w:i/>
          <w:sz w:val="26"/>
          <w:szCs w:val="26"/>
        </w:rPr>
        <w:t>”</w:t>
      </w:r>
      <w:r w:rsidR="00A66D40" w:rsidRPr="00B4649C">
        <w:rPr>
          <w:b/>
          <w:i/>
          <w:sz w:val="26"/>
          <w:szCs w:val="26"/>
        </w:rPr>
        <w:t xml:space="preserve"> e Emendas nº02 Modificativa e nº03 Aditiva</w:t>
      </w:r>
      <w:r w:rsidR="008146EC" w:rsidRPr="00B4649C">
        <w:rPr>
          <w:b/>
          <w:sz w:val="26"/>
          <w:szCs w:val="26"/>
        </w:rPr>
        <w:t>.</w:t>
      </w:r>
    </w:p>
    <w:p w:rsidR="00167E99" w:rsidRPr="00B4649C" w:rsidRDefault="00167E99" w:rsidP="00661172">
      <w:pPr>
        <w:jc w:val="both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  <w:u w:val="single"/>
        </w:rPr>
        <w:t>PARECERISTA</w:t>
      </w:r>
      <w:r w:rsidRPr="00B4649C">
        <w:rPr>
          <w:b/>
          <w:sz w:val="26"/>
          <w:szCs w:val="26"/>
        </w:rPr>
        <w:t xml:space="preserve">: </w:t>
      </w:r>
      <w:r w:rsidR="00B8199D" w:rsidRPr="00B4649C">
        <w:rPr>
          <w:b/>
          <w:sz w:val="26"/>
          <w:szCs w:val="26"/>
        </w:rPr>
        <w:t>André Fernandes de Castro</w:t>
      </w:r>
      <w:r w:rsidRPr="00B4649C">
        <w:rPr>
          <w:b/>
          <w:sz w:val="26"/>
          <w:szCs w:val="26"/>
        </w:rPr>
        <w:t>.</w:t>
      </w:r>
    </w:p>
    <w:p w:rsidR="00167E99" w:rsidRPr="00B4649C" w:rsidRDefault="00167E9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312DD9" w:rsidRPr="00B4649C" w:rsidRDefault="00312DD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B4649C" w:rsidRDefault="00167E99" w:rsidP="0066117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RELATÓRIO</w:t>
      </w:r>
    </w:p>
    <w:p w:rsidR="00316B1A" w:rsidRPr="00B4649C" w:rsidRDefault="00316B1A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312DD9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5256B" w:rsidRPr="00B4649C" w:rsidRDefault="0025256B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71C92" w:rsidRPr="00B4649C" w:rsidRDefault="00167E99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2D0FCC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legislativa do </w:t>
      </w:r>
      <w:r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Projeto de </w:t>
      </w:r>
      <w:r w:rsidR="002D0FCC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Lei </w:t>
      </w:r>
      <w:r w:rsidR="008146EC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epigrafado, de autoria d</w:t>
      </w:r>
      <w:r w:rsidR="0009062B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Poder Executivo, que </w:t>
      </w:r>
      <w:r w:rsidR="005E5764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visa a autorização desta Casa Legislativa para que o </w:t>
      </w:r>
      <w:r w:rsidR="00397C2A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Poder Executivo Municipal </w:t>
      </w:r>
      <w:r w:rsidR="00DD76AE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possa </w:t>
      </w:r>
      <w:r w:rsidR="00A110BD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des</w:t>
      </w:r>
      <w:r w:rsidR="00DD76AE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a</w:t>
      </w:r>
      <w:r w:rsidR="00A110BD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fetar de sua destinação original </w:t>
      </w:r>
      <w:r w:rsidR="006C7ECE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parte de imóvel urbano e doar parte do total desafetado e </w:t>
      </w:r>
      <w:r w:rsidR="00A110BD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da outras providencias</w:t>
      </w:r>
      <w:r w:rsidR="00A110BD" w:rsidRPr="00B4649C">
        <w:rPr>
          <w:rFonts w:ascii="Times New Roman" w:hAnsi="Times New Roman" w:cs="Times New Roman"/>
          <w:sz w:val="26"/>
          <w:szCs w:val="26"/>
        </w:rPr>
        <w:t xml:space="preserve">” e da Emenda </w:t>
      </w:r>
      <w:r w:rsidR="00DD76AE" w:rsidRPr="00B4649C">
        <w:rPr>
          <w:rFonts w:ascii="Times New Roman" w:hAnsi="Times New Roman" w:cs="Times New Roman"/>
          <w:sz w:val="26"/>
          <w:szCs w:val="26"/>
        </w:rPr>
        <w:t>nº0</w:t>
      </w:r>
      <w:r w:rsidR="007857BE" w:rsidRPr="00B4649C">
        <w:rPr>
          <w:rFonts w:ascii="Times New Roman" w:hAnsi="Times New Roman" w:cs="Times New Roman"/>
          <w:sz w:val="26"/>
          <w:szCs w:val="26"/>
        </w:rPr>
        <w:t>2</w:t>
      </w:r>
      <w:r w:rsidR="00DD76AE" w:rsidRPr="00B4649C">
        <w:rPr>
          <w:rFonts w:ascii="Times New Roman" w:hAnsi="Times New Roman" w:cs="Times New Roman"/>
          <w:sz w:val="26"/>
          <w:szCs w:val="26"/>
        </w:rPr>
        <w:t xml:space="preserve"> </w:t>
      </w:r>
      <w:r w:rsidR="00A110BD" w:rsidRPr="00B4649C">
        <w:rPr>
          <w:rFonts w:ascii="Times New Roman" w:hAnsi="Times New Roman" w:cs="Times New Roman"/>
          <w:sz w:val="26"/>
          <w:szCs w:val="26"/>
        </w:rPr>
        <w:t xml:space="preserve">Modificativa </w:t>
      </w:r>
      <w:r w:rsidR="00DD76AE" w:rsidRPr="00B4649C">
        <w:rPr>
          <w:rFonts w:ascii="Times New Roman" w:hAnsi="Times New Roman" w:cs="Times New Roman"/>
          <w:sz w:val="26"/>
          <w:szCs w:val="26"/>
        </w:rPr>
        <w:t>d</w:t>
      </w:r>
      <w:r w:rsidR="00A110BD" w:rsidRPr="00B4649C">
        <w:rPr>
          <w:rFonts w:ascii="Times New Roman" w:hAnsi="Times New Roman" w:cs="Times New Roman"/>
          <w:sz w:val="26"/>
          <w:szCs w:val="26"/>
        </w:rPr>
        <w:t xml:space="preserve">e autoria do vereador </w:t>
      </w:r>
      <w:r w:rsidR="00116C38" w:rsidRPr="00B4649C">
        <w:rPr>
          <w:rFonts w:ascii="Times New Roman" w:hAnsi="Times New Roman" w:cs="Times New Roman"/>
          <w:sz w:val="26"/>
          <w:szCs w:val="26"/>
        </w:rPr>
        <w:t>Tim Maritaca</w:t>
      </w:r>
      <w:r w:rsidR="007857BE" w:rsidRPr="00B4649C">
        <w:rPr>
          <w:rFonts w:ascii="Times New Roman" w:hAnsi="Times New Roman" w:cs="Times New Roman"/>
          <w:sz w:val="26"/>
          <w:szCs w:val="26"/>
        </w:rPr>
        <w:t xml:space="preserve"> e da Emenda nº03 Aditiva de autoria da vereadora Rosemary Rodrigues Araújo Oliveira</w:t>
      </w:r>
      <w:r w:rsidR="00CC4FDE" w:rsidRPr="00B4649C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870348" w:rsidRDefault="00870348" w:rsidP="00CC4FDE">
      <w:pPr>
        <w:pStyle w:val="Recuodecorpodetexto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25256B" w:rsidRPr="00B4649C" w:rsidRDefault="0025256B" w:rsidP="00CC4FDE">
      <w:pPr>
        <w:pStyle w:val="Recuodecorpodetexto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EE2771" w:rsidRPr="00B4649C" w:rsidRDefault="00794E25" w:rsidP="00B71C92">
      <w:pPr>
        <w:ind w:firstLine="2127"/>
        <w:jc w:val="both"/>
        <w:rPr>
          <w:sz w:val="26"/>
          <w:szCs w:val="26"/>
        </w:rPr>
      </w:pPr>
      <w:r w:rsidRPr="00B4649C">
        <w:rPr>
          <w:sz w:val="26"/>
          <w:szCs w:val="26"/>
        </w:rPr>
        <w:t xml:space="preserve">Segundo consta, o </w:t>
      </w:r>
      <w:r w:rsidR="00B71C92" w:rsidRPr="00B4649C">
        <w:rPr>
          <w:sz w:val="26"/>
          <w:szCs w:val="26"/>
        </w:rPr>
        <w:t xml:space="preserve">município de Claudio </w:t>
      </w:r>
      <w:r w:rsidR="0029307A" w:rsidRPr="00B4649C">
        <w:rPr>
          <w:sz w:val="26"/>
          <w:szCs w:val="26"/>
        </w:rPr>
        <w:t xml:space="preserve">pretende </w:t>
      </w:r>
      <w:r w:rsidR="00EE2771" w:rsidRPr="00B4649C">
        <w:rPr>
          <w:sz w:val="26"/>
          <w:szCs w:val="26"/>
        </w:rPr>
        <w:t xml:space="preserve">desafetar parte do imóvel urbano registrado sob a matricula nº.10.325 perante o Cartório de Registro de Imóveis de Cláudio/MG, onde se encontra atualmente o parque de exposições do Município, e, consequentemente, doar parte da área </w:t>
      </w:r>
      <w:r w:rsidR="006E6096" w:rsidRPr="00B4649C">
        <w:rPr>
          <w:sz w:val="26"/>
          <w:szCs w:val="26"/>
        </w:rPr>
        <w:t xml:space="preserve">então </w:t>
      </w:r>
      <w:r w:rsidR="00EE2771" w:rsidRPr="00B4649C">
        <w:rPr>
          <w:sz w:val="26"/>
          <w:szCs w:val="26"/>
        </w:rPr>
        <w:t>desafetada, qual seja, 4.000,00m² (quatro mil metros quadrados) para o Estado de Minas Gerais, tendo por finalidade a construção da nova sede para o Fórum da Comarca de Cláudio.</w:t>
      </w:r>
    </w:p>
    <w:p w:rsidR="00EE2771" w:rsidRDefault="00EE2771" w:rsidP="00B71C92">
      <w:pPr>
        <w:ind w:firstLine="2127"/>
        <w:jc w:val="both"/>
        <w:rPr>
          <w:sz w:val="26"/>
          <w:szCs w:val="26"/>
        </w:rPr>
      </w:pPr>
    </w:p>
    <w:p w:rsidR="0025256B" w:rsidRPr="00B4649C" w:rsidRDefault="0025256B" w:rsidP="00B71C92">
      <w:pPr>
        <w:ind w:firstLine="2127"/>
        <w:jc w:val="both"/>
        <w:rPr>
          <w:sz w:val="26"/>
          <w:szCs w:val="26"/>
        </w:rPr>
      </w:pPr>
    </w:p>
    <w:p w:rsidR="00153B48" w:rsidRPr="00B4649C" w:rsidRDefault="00153B48" w:rsidP="00B71C92">
      <w:pPr>
        <w:ind w:firstLine="2127"/>
        <w:jc w:val="both"/>
        <w:rPr>
          <w:sz w:val="26"/>
          <w:szCs w:val="26"/>
        </w:rPr>
      </w:pPr>
      <w:r w:rsidRPr="00B4649C">
        <w:rPr>
          <w:sz w:val="26"/>
          <w:szCs w:val="26"/>
        </w:rPr>
        <w:t>A</w:t>
      </w:r>
      <w:r w:rsidR="00870348" w:rsidRPr="00B4649C">
        <w:rPr>
          <w:sz w:val="26"/>
          <w:szCs w:val="26"/>
        </w:rPr>
        <w:t xml:space="preserve">nexa ao projeto </w:t>
      </w:r>
      <w:r w:rsidR="00F2651C" w:rsidRPr="00B4649C">
        <w:rPr>
          <w:sz w:val="26"/>
          <w:szCs w:val="26"/>
        </w:rPr>
        <w:t xml:space="preserve">de Lei </w:t>
      </w:r>
      <w:r w:rsidRPr="00B4649C">
        <w:rPr>
          <w:sz w:val="26"/>
          <w:szCs w:val="26"/>
        </w:rPr>
        <w:t>a necessária avaliação mercadológica d</w:t>
      </w:r>
      <w:r w:rsidR="00B94DA5" w:rsidRPr="00B4649C">
        <w:rPr>
          <w:sz w:val="26"/>
          <w:szCs w:val="26"/>
        </w:rPr>
        <w:t xml:space="preserve">a área objeto de desafetação, bem como da área individualizada e objeto de doação para o Estado de Minas Gerais, que deverá ser legalmente desmembrada, em atenção às exigências </w:t>
      </w:r>
      <w:r w:rsidR="000075D2" w:rsidRPr="00B4649C">
        <w:rPr>
          <w:sz w:val="26"/>
          <w:szCs w:val="26"/>
        </w:rPr>
        <w:t>do futuro donatário, pré-requisito para o efetivo início dos serviços de construção do novo Fórum.</w:t>
      </w:r>
      <w:r w:rsidRPr="00B4649C">
        <w:rPr>
          <w:sz w:val="26"/>
          <w:szCs w:val="26"/>
        </w:rPr>
        <w:t xml:space="preserve"> </w:t>
      </w:r>
    </w:p>
    <w:p w:rsidR="00F72113" w:rsidRDefault="00F72113" w:rsidP="00B71C92">
      <w:pPr>
        <w:ind w:firstLine="2127"/>
        <w:jc w:val="both"/>
        <w:rPr>
          <w:sz w:val="26"/>
          <w:szCs w:val="26"/>
        </w:rPr>
      </w:pPr>
    </w:p>
    <w:p w:rsidR="0025256B" w:rsidRPr="00B4649C" w:rsidRDefault="0025256B" w:rsidP="00B71C92">
      <w:pPr>
        <w:ind w:firstLine="2127"/>
        <w:jc w:val="both"/>
        <w:rPr>
          <w:sz w:val="26"/>
          <w:szCs w:val="26"/>
        </w:rPr>
      </w:pPr>
    </w:p>
    <w:p w:rsidR="00B71C92" w:rsidRPr="00B4649C" w:rsidRDefault="00B71C92" w:rsidP="00B71C92">
      <w:pPr>
        <w:ind w:firstLine="2127"/>
        <w:jc w:val="both"/>
        <w:rPr>
          <w:sz w:val="26"/>
          <w:szCs w:val="26"/>
        </w:rPr>
      </w:pPr>
      <w:r w:rsidRPr="00B4649C">
        <w:rPr>
          <w:sz w:val="26"/>
          <w:szCs w:val="26"/>
        </w:rPr>
        <w:lastRenderedPageBreak/>
        <w:t>Foi apresentad</w:t>
      </w:r>
      <w:r w:rsidR="00F2651C" w:rsidRPr="00B4649C">
        <w:rPr>
          <w:sz w:val="26"/>
          <w:szCs w:val="26"/>
        </w:rPr>
        <w:t xml:space="preserve">a </w:t>
      </w:r>
      <w:r w:rsidRPr="00B4649C">
        <w:rPr>
          <w:sz w:val="26"/>
          <w:szCs w:val="26"/>
        </w:rPr>
        <w:t xml:space="preserve">emenda </w:t>
      </w:r>
      <w:r w:rsidR="00171782" w:rsidRPr="00B4649C">
        <w:rPr>
          <w:sz w:val="26"/>
          <w:szCs w:val="26"/>
        </w:rPr>
        <w:t>nº0</w:t>
      </w:r>
      <w:r w:rsidR="00A66D40" w:rsidRPr="00B4649C">
        <w:rPr>
          <w:sz w:val="26"/>
          <w:szCs w:val="26"/>
        </w:rPr>
        <w:t>2</w:t>
      </w:r>
      <w:r w:rsidR="00171782" w:rsidRPr="00B4649C">
        <w:rPr>
          <w:sz w:val="26"/>
          <w:szCs w:val="26"/>
        </w:rPr>
        <w:t xml:space="preserve"> modificativa </w:t>
      </w:r>
      <w:r w:rsidR="006E6096" w:rsidRPr="00B4649C">
        <w:rPr>
          <w:sz w:val="26"/>
          <w:szCs w:val="26"/>
        </w:rPr>
        <w:t>ao</w:t>
      </w:r>
      <w:r w:rsidR="00A66D40" w:rsidRPr="00B4649C">
        <w:rPr>
          <w:sz w:val="26"/>
          <w:szCs w:val="26"/>
        </w:rPr>
        <w:t>s</w:t>
      </w:r>
      <w:r w:rsidR="006E6096" w:rsidRPr="00B4649C">
        <w:rPr>
          <w:sz w:val="26"/>
          <w:szCs w:val="26"/>
        </w:rPr>
        <w:t xml:space="preserve"> artigo</w:t>
      </w:r>
      <w:r w:rsidR="00A66D40" w:rsidRPr="00B4649C">
        <w:rPr>
          <w:sz w:val="26"/>
          <w:szCs w:val="26"/>
        </w:rPr>
        <w:t>s</w:t>
      </w:r>
      <w:r w:rsidR="006E6096" w:rsidRPr="00B4649C">
        <w:rPr>
          <w:sz w:val="26"/>
          <w:szCs w:val="26"/>
        </w:rPr>
        <w:t xml:space="preserve"> 1º</w:t>
      </w:r>
      <w:r w:rsidR="00A66D40" w:rsidRPr="00B4649C">
        <w:rPr>
          <w:sz w:val="26"/>
          <w:szCs w:val="26"/>
        </w:rPr>
        <w:t xml:space="preserve"> e 2º</w:t>
      </w:r>
      <w:r w:rsidR="006E6096" w:rsidRPr="00B4649C">
        <w:rPr>
          <w:sz w:val="26"/>
          <w:szCs w:val="26"/>
        </w:rPr>
        <w:t xml:space="preserve"> da referida Lei, visando a redução da área desafetada para apenas 4.000,00m² (quatro mil metros quadrados), ou seja, atendendo apenas à área destinada para doação, a fim da construção da nova sede do Fórum da Comarca de Cláudio, retirando do texto a desafetação de área excedente de 6.018,00m² (seis mil e dezoito metros quadrados), sem destinação justificada no referido projeto</w:t>
      </w:r>
      <w:r w:rsidR="00171782" w:rsidRPr="00B4649C">
        <w:rPr>
          <w:sz w:val="26"/>
          <w:szCs w:val="26"/>
        </w:rPr>
        <w:t>.</w:t>
      </w:r>
    </w:p>
    <w:p w:rsidR="0025256B" w:rsidRDefault="0025256B" w:rsidP="00B71C92">
      <w:pPr>
        <w:ind w:firstLine="2127"/>
        <w:jc w:val="both"/>
        <w:rPr>
          <w:sz w:val="26"/>
          <w:szCs w:val="26"/>
        </w:rPr>
      </w:pPr>
    </w:p>
    <w:p w:rsidR="0025256B" w:rsidRDefault="0025256B" w:rsidP="00B71C92">
      <w:pPr>
        <w:ind w:firstLine="2127"/>
        <w:jc w:val="both"/>
        <w:rPr>
          <w:sz w:val="26"/>
          <w:szCs w:val="26"/>
        </w:rPr>
      </w:pPr>
    </w:p>
    <w:p w:rsidR="00F2048C" w:rsidRPr="00B4649C" w:rsidRDefault="00A66D40" w:rsidP="00B71C92">
      <w:pPr>
        <w:ind w:firstLine="2127"/>
        <w:jc w:val="both"/>
        <w:rPr>
          <w:sz w:val="26"/>
          <w:szCs w:val="26"/>
        </w:rPr>
      </w:pPr>
      <w:r w:rsidRPr="00B4649C">
        <w:rPr>
          <w:sz w:val="26"/>
          <w:szCs w:val="26"/>
        </w:rPr>
        <w:t>Lado outro a emenda nº03 Aditiva acrescenta ao texto o novo artigo 5º justificando a direção e o condicionamento devido da área desafetada remaneste àquela prevista exclusivamente pra a doação prevista no artigo 2º</w:t>
      </w:r>
      <w:r w:rsidR="00380418" w:rsidRPr="00B4649C">
        <w:rPr>
          <w:sz w:val="26"/>
          <w:szCs w:val="26"/>
        </w:rPr>
        <w:t>.</w:t>
      </w:r>
    </w:p>
    <w:p w:rsidR="00563BEC" w:rsidRPr="00B4649C" w:rsidRDefault="00563BEC" w:rsidP="00B71C92">
      <w:pPr>
        <w:ind w:firstLine="2127"/>
        <w:jc w:val="both"/>
        <w:rPr>
          <w:sz w:val="26"/>
          <w:szCs w:val="26"/>
        </w:rPr>
      </w:pPr>
    </w:p>
    <w:p w:rsidR="00B71C92" w:rsidRPr="00B4649C" w:rsidRDefault="00B71C92" w:rsidP="00B71C92">
      <w:pPr>
        <w:jc w:val="both"/>
        <w:outlineLvl w:val="0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>Em apertada síntese é o relato do necessário.</w:t>
      </w:r>
    </w:p>
    <w:p w:rsidR="00312DD9" w:rsidRPr="00B4649C" w:rsidRDefault="00312DD9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312DD9" w:rsidRDefault="00312DD9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25256B" w:rsidRPr="00B4649C" w:rsidRDefault="0025256B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B71C92" w:rsidRPr="00B4649C" w:rsidRDefault="00B71C92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FUNDAMENTAÇÃO</w:t>
      </w:r>
    </w:p>
    <w:p w:rsidR="00B71C92" w:rsidRDefault="00B71C92" w:rsidP="00B71C92">
      <w:pPr>
        <w:pStyle w:val="Corpodetexto"/>
        <w:spacing w:after="0"/>
        <w:rPr>
          <w:sz w:val="26"/>
          <w:szCs w:val="26"/>
        </w:rPr>
      </w:pPr>
    </w:p>
    <w:p w:rsidR="0025256B" w:rsidRPr="00B4649C" w:rsidRDefault="0025256B" w:rsidP="00B71C92">
      <w:pPr>
        <w:pStyle w:val="Corpodetexto"/>
        <w:spacing w:after="0"/>
        <w:rPr>
          <w:sz w:val="26"/>
          <w:szCs w:val="26"/>
        </w:rPr>
      </w:pPr>
    </w:p>
    <w:p w:rsidR="00B71C92" w:rsidRPr="00B4649C" w:rsidRDefault="00B71C92" w:rsidP="00B71C92">
      <w:pPr>
        <w:jc w:val="both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="00971852" w:rsidRPr="00B4649C">
        <w:rPr>
          <w:sz w:val="26"/>
          <w:szCs w:val="26"/>
        </w:rPr>
        <w:t xml:space="preserve">  </w:t>
      </w:r>
      <w:r w:rsidRPr="00B4649C">
        <w:rPr>
          <w:sz w:val="26"/>
          <w:szCs w:val="26"/>
        </w:rPr>
        <w:t xml:space="preserve">A matéria versada no projeto em questão é de interesse local, aliado ao fato de que a sua iniciativa </w:t>
      </w:r>
      <w:r w:rsidR="00896C18" w:rsidRPr="00B4649C">
        <w:rPr>
          <w:sz w:val="26"/>
          <w:szCs w:val="26"/>
        </w:rPr>
        <w:t xml:space="preserve">compete ao </w:t>
      </w:r>
      <w:r w:rsidRPr="00B4649C">
        <w:rPr>
          <w:sz w:val="26"/>
          <w:szCs w:val="26"/>
        </w:rPr>
        <w:t xml:space="preserve">Chefe do Executivo nos termos do art. </w:t>
      </w:r>
      <w:r w:rsidR="00481434" w:rsidRPr="00B4649C">
        <w:rPr>
          <w:sz w:val="26"/>
          <w:szCs w:val="26"/>
        </w:rPr>
        <w:t>30</w:t>
      </w:r>
      <w:r w:rsidRPr="00B4649C">
        <w:rPr>
          <w:sz w:val="26"/>
          <w:szCs w:val="26"/>
        </w:rPr>
        <w:t xml:space="preserve"> c/c </w:t>
      </w:r>
      <w:r w:rsidR="004628DE" w:rsidRPr="00B4649C">
        <w:rPr>
          <w:sz w:val="26"/>
          <w:szCs w:val="26"/>
        </w:rPr>
        <w:t xml:space="preserve">art. 52, incisos I e XXV, e ainda fundamentada no </w:t>
      </w:r>
      <w:r w:rsidRPr="00B4649C">
        <w:rPr>
          <w:sz w:val="26"/>
          <w:szCs w:val="26"/>
        </w:rPr>
        <w:t>art. 19, todos da Lei Orgânica Municipal, além de não se enquadrar, nos termos do art. 33 desta lei, no rol dos assuntos de competência exclusiva da Câmara.</w:t>
      </w:r>
    </w:p>
    <w:p w:rsidR="00B71C92" w:rsidRPr="00B4649C" w:rsidRDefault="00B71C92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sz w:val="26"/>
          <w:szCs w:val="26"/>
        </w:rPr>
      </w:pPr>
    </w:p>
    <w:p w:rsidR="007049C3" w:rsidRPr="00B4649C" w:rsidRDefault="001557FB" w:rsidP="008146EC">
      <w:pPr>
        <w:pStyle w:val="Corpodetexto"/>
        <w:ind w:firstLine="2268"/>
        <w:jc w:val="both"/>
        <w:rPr>
          <w:sz w:val="26"/>
          <w:szCs w:val="26"/>
        </w:rPr>
      </w:pPr>
      <w:r w:rsidRPr="00B4649C">
        <w:rPr>
          <w:sz w:val="26"/>
          <w:szCs w:val="26"/>
        </w:rPr>
        <w:t xml:space="preserve">O projeto de Lei visa </w:t>
      </w:r>
      <w:r w:rsidR="007049C3" w:rsidRPr="00B4649C">
        <w:rPr>
          <w:sz w:val="26"/>
          <w:szCs w:val="26"/>
        </w:rPr>
        <w:t xml:space="preserve">a </w:t>
      </w:r>
      <w:r w:rsidR="009D2CDE" w:rsidRPr="00B4649C">
        <w:rPr>
          <w:sz w:val="26"/>
          <w:szCs w:val="26"/>
        </w:rPr>
        <w:t xml:space="preserve">autorização desta Casa Legislativa para que o Poder Executivo Municipal possa </w:t>
      </w:r>
      <w:r w:rsidR="00A2048A" w:rsidRPr="00B4649C">
        <w:rPr>
          <w:sz w:val="26"/>
          <w:szCs w:val="26"/>
        </w:rPr>
        <w:t>desafetar</w:t>
      </w:r>
      <w:r w:rsidR="00142F30" w:rsidRPr="00B4649C">
        <w:rPr>
          <w:sz w:val="26"/>
          <w:szCs w:val="26"/>
        </w:rPr>
        <w:t xml:space="preserve"> 10.018,00m² (dez mil e dezoito metros quadrados), ou seja, parte do </w:t>
      </w:r>
      <w:r w:rsidR="00DA1A8E" w:rsidRPr="00B4649C">
        <w:rPr>
          <w:sz w:val="26"/>
          <w:szCs w:val="26"/>
        </w:rPr>
        <w:t>imóvel urbano</w:t>
      </w:r>
      <w:r w:rsidR="00142F30" w:rsidRPr="00B4649C">
        <w:rPr>
          <w:sz w:val="26"/>
          <w:szCs w:val="26"/>
        </w:rPr>
        <w:t xml:space="preserve"> de propriedade do Município, área do atual parque de exposições, registrado no CRI local sob matricula imobiliária nº.10.235</w:t>
      </w:r>
      <w:r w:rsidR="007049C3" w:rsidRPr="00B4649C">
        <w:rPr>
          <w:sz w:val="26"/>
          <w:szCs w:val="26"/>
        </w:rPr>
        <w:t>.</w:t>
      </w:r>
    </w:p>
    <w:p w:rsidR="00142F30" w:rsidRPr="00B4649C" w:rsidRDefault="00142F30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7049C3" w:rsidRPr="00B4649C" w:rsidRDefault="00142F30" w:rsidP="008146EC">
      <w:pPr>
        <w:pStyle w:val="Corpodetexto"/>
        <w:ind w:firstLine="2268"/>
        <w:jc w:val="both"/>
        <w:rPr>
          <w:sz w:val="26"/>
          <w:szCs w:val="26"/>
        </w:rPr>
      </w:pPr>
      <w:r w:rsidRPr="00B4649C">
        <w:rPr>
          <w:sz w:val="26"/>
          <w:szCs w:val="26"/>
        </w:rPr>
        <w:t xml:space="preserve">Uma vez alcançada a desafetação da área descrita, </w:t>
      </w:r>
      <w:r w:rsidR="00B63BBB" w:rsidRPr="00B4649C">
        <w:rPr>
          <w:sz w:val="26"/>
          <w:szCs w:val="26"/>
        </w:rPr>
        <w:t xml:space="preserve">pretende a </w:t>
      </w:r>
      <w:r w:rsidRPr="00B4649C">
        <w:rPr>
          <w:sz w:val="26"/>
          <w:szCs w:val="26"/>
        </w:rPr>
        <w:t>aliena</w:t>
      </w:r>
      <w:r w:rsidR="00B63BBB" w:rsidRPr="00B4649C">
        <w:rPr>
          <w:sz w:val="26"/>
          <w:szCs w:val="26"/>
        </w:rPr>
        <w:t xml:space="preserve">r, </w:t>
      </w:r>
      <w:r w:rsidRPr="00B4649C">
        <w:rPr>
          <w:sz w:val="26"/>
          <w:szCs w:val="26"/>
        </w:rPr>
        <w:t xml:space="preserve">nos moldes do artigo 17, inciso I, da Lei Federal nº8666/93, </w:t>
      </w:r>
      <w:r w:rsidR="004D3F0E" w:rsidRPr="00B4649C">
        <w:rPr>
          <w:sz w:val="26"/>
          <w:szCs w:val="26"/>
        </w:rPr>
        <w:t xml:space="preserve">4.000,00² (quatro mil metros quadrados) </w:t>
      </w:r>
      <w:r w:rsidR="00B63BBB" w:rsidRPr="00B4649C">
        <w:rPr>
          <w:sz w:val="26"/>
          <w:szCs w:val="26"/>
        </w:rPr>
        <w:t xml:space="preserve">que serão doados </w:t>
      </w:r>
      <w:r w:rsidR="004D3F0E" w:rsidRPr="00B4649C">
        <w:rPr>
          <w:sz w:val="26"/>
          <w:szCs w:val="26"/>
        </w:rPr>
        <w:t>a</w:t>
      </w:r>
      <w:r w:rsidRPr="00B4649C">
        <w:rPr>
          <w:sz w:val="26"/>
          <w:szCs w:val="26"/>
        </w:rPr>
        <w:t>o Estado de Minas Gerais, com o fim especifico para a construção da nova sede do Fórum da Comarca de Cláudio.</w:t>
      </w:r>
    </w:p>
    <w:p w:rsidR="00142F30" w:rsidRPr="00B4649C" w:rsidRDefault="00142F30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4D3F0E" w:rsidRPr="00B4649C" w:rsidRDefault="004D3F0E" w:rsidP="008146EC">
      <w:pPr>
        <w:pStyle w:val="Corpodetexto"/>
        <w:ind w:firstLine="2268"/>
        <w:jc w:val="both"/>
        <w:rPr>
          <w:rStyle w:val="st"/>
          <w:sz w:val="26"/>
          <w:szCs w:val="26"/>
        </w:rPr>
      </w:pPr>
      <w:r w:rsidRPr="00B4649C">
        <w:rPr>
          <w:rStyle w:val="st"/>
          <w:sz w:val="26"/>
          <w:szCs w:val="26"/>
        </w:rPr>
        <w:t xml:space="preserve">A desafetação é um fato administrativo dinâmico, que permite a mutação da finalidades ou destinações do </w:t>
      </w:r>
      <w:r w:rsidRPr="00B4649C">
        <w:rPr>
          <w:rStyle w:val="nfase"/>
          <w:sz w:val="26"/>
          <w:szCs w:val="26"/>
        </w:rPr>
        <w:t>bem público</w:t>
      </w:r>
      <w:r w:rsidRPr="00B4649C">
        <w:rPr>
          <w:rStyle w:val="st"/>
          <w:sz w:val="26"/>
          <w:szCs w:val="26"/>
        </w:rPr>
        <w:t xml:space="preserve">. </w:t>
      </w:r>
      <w:r w:rsidR="008B4848" w:rsidRPr="00B4649C">
        <w:rPr>
          <w:rStyle w:val="st"/>
          <w:sz w:val="26"/>
          <w:szCs w:val="26"/>
        </w:rPr>
        <w:t>Trata-se de pré requisito imprescindível para conferir ao Ente Público, a possibilidade de alienar o imóvel, então afetado ao Poder Público, para fim destinado</w:t>
      </w:r>
      <w:r w:rsidRPr="00B4649C">
        <w:rPr>
          <w:rStyle w:val="st"/>
          <w:sz w:val="26"/>
          <w:szCs w:val="26"/>
        </w:rPr>
        <w:t>.</w:t>
      </w:r>
    </w:p>
    <w:p w:rsidR="008B4848" w:rsidRPr="00B4649C" w:rsidRDefault="008B4848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B4848" w:rsidRPr="00B4649C" w:rsidRDefault="008B4848" w:rsidP="008146EC">
      <w:pPr>
        <w:pStyle w:val="Corpodetexto"/>
        <w:ind w:firstLine="2268"/>
        <w:jc w:val="both"/>
        <w:rPr>
          <w:sz w:val="26"/>
          <w:szCs w:val="26"/>
        </w:rPr>
      </w:pPr>
      <w:r w:rsidRPr="00B4649C">
        <w:rPr>
          <w:sz w:val="26"/>
          <w:szCs w:val="26"/>
        </w:rPr>
        <w:lastRenderedPageBreak/>
        <w:t>Neste contexto, é necessário primeiramente a desafetação do bem público para que possa o Poder Público alienar da forma prevista em lei, dentre elas a compra e venda e a doação.</w:t>
      </w:r>
    </w:p>
    <w:p w:rsidR="00F810C8" w:rsidRPr="00B4649C" w:rsidRDefault="00F810C8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F810C8" w:rsidRPr="0025256B" w:rsidRDefault="00F810C8" w:rsidP="008146EC">
      <w:pPr>
        <w:pStyle w:val="Corpodetexto"/>
        <w:ind w:firstLine="2268"/>
        <w:jc w:val="both"/>
        <w:rPr>
          <w:rFonts w:eastAsia="Times New Roman"/>
          <w:sz w:val="26"/>
          <w:szCs w:val="26"/>
        </w:rPr>
      </w:pPr>
      <w:r w:rsidRPr="00B4649C">
        <w:rPr>
          <w:rFonts w:eastAsia="Times New Roman"/>
          <w:sz w:val="26"/>
          <w:szCs w:val="26"/>
        </w:rPr>
        <w:t>Esclarecemos que todo órgão da Administração Pública direta e indireta do poder executivo da União, Estado, Distrito Federal e Município, desde que seja conveniente, oportuno e vantajoso para a Administração, pode receber e realizar doação, instruído o processo com elementos compatíveis de acordo com as normas legais vigentes, obedecendo a Legislaçã</w:t>
      </w:r>
      <w:r w:rsidRPr="0025256B">
        <w:rPr>
          <w:rFonts w:eastAsia="Times New Roman"/>
          <w:sz w:val="26"/>
          <w:szCs w:val="26"/>
        </w:rPr>
        <w:t xml:space="preserve">o Civil, de Licitações e Administrativas, inclusive com relação à competência da autoridade para aceitar a doação e firmar o </w:t>
      </w:r>
      <w:r w:rsidRPr="0025256B">
        <w:rPr>
          <w:rFonts w:eastAsia="Times New Roman"/>
          <w:bCs/>
          <w:sz w:val="26"/>
          <w:szCs w:val="26"/>
        </w:rPr>
        <w:t>termo</w:t>
      </w:r>
      <w:r w:rsidRPr="0025256B">
        <w:rPr>
          <w:rFonts w:eastAsia="Times New Roman"/>
          <w:sz w:val="26"/>
          <w:szCs w:val="26"/>
        </w:rPr>
        <w:t xml:space="preserve"> (no caso de</w:t>
      </w:r>
      <w:r w:rsidRPr="0025256B">
        <w:rPr>
          <w:rFonts w:eastAsia="Times New Roman"/>
          <w:bCs/>
          <w:sz w:val="26"/>
          <w:szCs w:val="26"/>
        </w:rPr>
        <w:t xml:space="preserve"> bens móveis</w:t>
      </w:r>
      <w:r w:rsidRPr="0025256B">
        <w:rPr>
          <w:rFonts w:eastAsia="Times New Roman"/>
          <w:sz w:val="26"/>
          <w:szCs w:val="26"/>
        </w:rPr>
        <w:t xml:space="preserve">) ou a </w:t>
      </w:r>
      <w:r w:rsidRPr="0025256B">
        <w:rPr>
          <w:rFonts w:eastAsia="Times New Roman"/>
          <w:bCs/>
          <w:sz w:val="26"/>
          <w:szCs w:val="26"/>
        </w:rPr>
        <w:t>escritura pública</w:t>
      </w:r>
      <w:r w:rsidRPr="0025256B">
        <w:rPr>
          <w:rFonts w:eastAsia="Times New Roman"/>
          <w:sz w:val="26"/>
          <w:szCs w:val="26"/>
        </w:rPr>
        <w:t xml:space="preserve"> (no caso de bens imóveis). </w:t>
      </w:r>
    </w:p>
    <w:p w:rsidR="00B4649C" w:rsidRPr="0025256B" w:rsidRDefault="00B4649C" w:rsidP="00142F30">
      <w:pPr>
        <w:pStyle w:val="Corpodetexto"/>
        <w:ind w:firstLine="2268"/>
        <w:jc w:val="both"/>
        <w:rPr>
          <w:sz w:val="26"/>
          <w:szCs w:val="26"/>
        </w:rPr>
      </w:pPr>
    </w:p>
    <w:p w:rsidR="00142F30" w:rsidRPr="0025256B" w:rsidRDefault="00F810C8" w:rsidP="00142F30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 xml:space="preserve">Lado outro, destaca-se que </w:t>
      </w:r>
      <w:r w:rsidR="00142F30" w:rsidRPr="0025256B">
        <w:rPr>
          <w:sz w:val="26"/>
          <w:szCs w:val="26"/>
        </w:rPr>
        <w:t xml:space="preserve">a </w:t>
      </w:r>
      <w:r w:rsidR="004D3F0E" w:rsidRPr="0025256B">
        <w:rPr>
          <w:sz w:val="26"/>
          <w:szCs w:val="26"/>
        </w:rPr>
        <w:t xml:space="preserve">doação </w:t>
      </w:r>
      <w:r w:rsidR="00142F30" w:rsidRPr="0025256B">
        <w:rPr>
          <w:sz w:val="26"/>
          <w:szCs w:val="26"/>
        </w:rPr>
        <w:t xml:space="preserve">é um negócio jurídico previsto no artigo </w:t>
      </w:r>
      <w:r w:rsidR="004D3F0E" w:rsidRPr="0025256B">
        <w:rPr>
          <w:sz w:val="26"/>
          <w:szCs w:val="26"/>
        </w:rPr>
        <w:t>538</w:t>
      </w:r>
      <w:r w:rsidR="00142F30" w:rsidRPr="0025256B">
        <w:rPr>
          <w:sz w:val="26"/>
          <w:szCs w:val="26"/>
        </w:rPr>
        <w:t xml:space="preserve"> do Código Civil em que</w:t>
      </w:r>
      <w:r w:rsidR="004D3F0E" w:rsidRPr="0025256B">
        <w:rPr>
          <w:sz w:val="26"/>
          <w:szCs w:val="26"/>
        </w:rPr>
        <w:t xml:space="preserve"> u</w:t>
      </w:r>
      <w:r w:rsidR="004D3F0E" w:rsidRPr="0025256B">
        <w:rPr>
          <w:rStyle w:val="st"/>
          <w:sz w:val="26"/>
          <w:szCs w:val="26"/>
        </w:rPr>
        <w:t>ma pessoa, por liberalidade, transfere do seu patrimônio bens ou vantagens para o de outra.</w:t>
      </w:r>
      <w:r w:rsidR="00142F30" w:rsidRPr="0025256B">
        <w:rPr>
          <w:sz w:val="26"/>
          <w:szCs w:val="26"/>
        </w:rPr>
        <w:t>”</w:t>
      </w:r>
      <w:r w:rsidR="00E34153" w:rsidRPr="0025256B">
        <w:rPr>
          <w:sz w:val="26"/>
          <w:szCs w:val="26"/>
        </w:rPr>
        <w:t xml:space="preserve">, </w:t>
      </w:r>
      <w:r w:rsidRPr="0025256B">
        <w:rPr>
          <w:sz w:val="26"/>
          <w:szCs w:val="26"/>
        </w:rPr>
        <w:t>e, como dito, é permitida no âmbito da Administração Pública</w:t>
      </w:r>
      <w:r w:rsidR="00E34153" w:rsidRPr="0025256B">
        <w:rPr>
          <w:sz w:val="26"/>
          <w:szCs w:val="26"/>
        </w:rPr>
        <w:t>, desde que subordinada à existência de interesse público justificável e precedida de avaliação mercadológica, conforme dispõe o caput do artigo 17 da Lei 8.666/93 (Lei de Licitações e contratos administrativos)</w:t>
      </w:r>
      <w:r w:rsidR="00142F30" w:rsidRPr="0025256B">
        <w:rPr>
          <w:sz w:val="26"/>
          <w:szCs w:val="26"/>
        </w:rPr>
        <w:t>.</w:t>
      </w:r>
    </w:p>
    <w:p w:rsidR="004D3F0E" w:rsidRPr="0025256B" w:rsidRDefault="004D3F0E" w:rsidP="00142F30">
      <w:pPr>
        <w:pStyle w:val="Corpodetexto"/>
        <w:ind w:firstLine="2268"/>
        <w:jc w:val="both"/>
        <w:rPr>
          <w:sz w:val="26"/>
          <w:szCs w:val="26"/>
        </w:rPr>
      </w:pPr>
    </w:p>
    <w:p w:rsidR="00F810C8" w:rsidRPr="0025256B" w:rsidRDefault="00F810C8" w:rsidP="00F810C8">
      <w:pPr>
        <w:pStyle w:val="Corpodetexto"/>
        <w:ind w:firstLine="2268"/>
        <w:jc w:val="both"/>
        <w:rPr>
          <w:rFonts w:eastAsia="Times New Roman"/>
          <w:sz w:val="26"/>
          <w:szCs w:val="26"/>
        </w:rPr>
      </w:pPr>
      <w:r w:rsidRPr="0025256B">
        <w:rPr>
          <w:rFonts w:eastAsia="Times New Roman"/>
          <w:sz w:val="26"/>
          <w:szCs w:val="26"/>
        </w:rPr>
        <w:t xml:space="preserve">Entretanto, para o fato e o ato jurídicos, tanto da desafetação quanto da consequente doação, é imprescindível </w:t>
      </w:r>
      <w:r w:rsidR="004D3F0E" w:rsidRPr="0025256B">
        <w:rPr>
          <w:rFonts w:eastAsia="Times New Roman"/>
          <w:bCs/>
          <w:sz w:val="26"/>
          <w:szCs w:val="26"/>
        </w:rPr>
        <w:t>Lei Autorizativa</w:t>
      </w:r>
      <w:r w:rsidR="004D3F0E" w:rsidRPr="0025256B">
        <w:rPr>
          <w:rFonts w:eastAsia="Times New Roman"/>
          <w:sz w:val="26"/>
          <w:szCs w:val="26"/>
        </w:rPr>
        <w:t xml:space="preserve"> e com possibilidade de reversão do bem para a Administração Pública no caso de descumprimento da finalidade do imóvel. É admissível que o doador imponha certas determinações ao donatário como condição da efetivação da doação. </w:t>
      </w:r>
    </w:p>
    <w:p w:rsidR="00B4649C" w:rsidRPr="0025256B" w:rsidRDefault="00B4649C" w:rsidP="00F810C8">
      <w:pPr>
        <w:pStyle w:val="Corpodetexto"/>
        <w:ind w:firstLine="2268"/>
        <w:jc w:val="both"/>
        <w:rPr>
          <w:sz w:val="26"/>
          <w:szCs w:val="26"/>
        </w:rPr>
      </w:pPr>
    </w:p>
    <w:p w:rsidR="00F810C8" w:rsidRPr="0025256B" w:rsidRDefault="000D153A" w:rsidP="00F810C8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 xml:space="preserve">In casu, além da permissão legal configurada, a </w:t>
      </w:r>
      <w:r w:rsidR="00F810C8" w:rsidRPr="0025256B">
        <w:rPr>
          <w:sz w:val="26"/>
          <w:szCs w:val="26"/>
        </w:rPr>
        <w:t xml:space="preserve">dispensa de licitação para a doação da área de 4.000,00m² (quatro mil metros quadrados) </w:t>
      </w:r>
      <w:r w:rsidRPr="0025256B">
        <w:rPr>
          <w:sz w:val="26"/>
          <w:szCs w:val="26"/>
        </w:rPr>
        <w:t xml:space="preserve">encontra respaldo e fundamentação na </w:t>
      </w:r>
      <w:r w:rsidR="00F810C8" w:rsidRPr="0025256B">
        <w:rPr>
          <w:sz w:val="26"/>
          <w:szCs w:val="26"/>
        </w:rPr>
        <w:t xml:space="preserve">letra “b” do inciso I </w:t>
      </w:r>
      <w:r w:rsidR="008E7108" w:rsidRPr="0025256B">
        <w:rPr>
          <w:sz w:val="26"/>
          <w:szCs w:val="26"/>
        </w:rPr>
        <w:t xml:space="preserve">do </w:t>
      </w:r>
      <w:r w:rsidR="00F810C8" w:rsidRPr="0025256B">
        <w:rPr>
          <w:sz w:val="26"/>
          <w:szCs w:val="26"/>
        </w:rPr>
        <w:t xml:space="preserve">artigo 17 </w:t>
      </w:r>
      <w:r w:rsidR="008E7108" w:rsidRPr="0025256B">
        <w:rPr>
          <w:sz w:val="26"/>
          <w:szCs w:val="26"/>
        </w:rPr>
        <w:t xml:space="preserve">c/c com § 4º do artigo 47 </w:t>
      </w:r>
      <w:r w:rsidR="00F810C8" w:rsidRPr="0025256B">
        <w:rPr>
          <w:sz w:val="26"/>
          <w:szCs w:val="26"/>
        </w:rPr>
        <w:t xml:space="preserve">da </w:t>
      </w:r>
      <w:r w:rsidR="008E7108" w:rsidRPr="0025256B">
        <w:rPr>
          <w:sz w:val="26"/>
          <w:szCs w:val="26"/>
        </w:rPr>
        <w:t xml:space="preserve">mesma </w:t>
      </w:r>
      <w:r w:rsidR="00F810C8" w:rsidRPr="0025256B">
        <w:rPr>
          <w:sz w:val="26"/>
          <w:szCs w:val="26"/>
        </w:rPr>
        <w:t xml:space="preserve">Lei 8.666/93, que permite exclusivamente quando realizada com outro órgão ou entidade da administração pública, de qualquer esfera de governo, </w:t>
      </w:r>
      <w:r w:rsidR="008E7108" w:rsidRPr="0025256B">
        <w:rPr>
          <w:sz w:val="26"/>
          <w:szCs w:val="26"/>
        </w:rPr>
        <w:t xml:space="preserve">caracterizado o interesse público justificável, </w:t>
      </w:r>
      <w:r w:rsidR="00F810C8" w:rsidRPr="0025256B">
        <w:rPr>
          <w:sz w:val="26"/>
          <w:szCs w:val="26"/>
        </w:rPr>
        <w:t xml:space="preserve">não </w:t>
      </w:r>
      <w:r w:rsidR="008E7108" w:rsidRPr="0025256B">
        <w:rPr>
          <w:sz w:val="26"/>
          <w:szCs w:val="26"/>
        </w:rPr>
        <w:t>inserindo a ne</w:t>
      </w:r>
      <w:r w:rsidR="00F810C8" w:rsidRPr="0025256B">
        <w:rPr>
          <w:sz w:val="26"/>
          <w:szCs w:val="26"/>
        </w:rPr>
        <w:t>nhuma das hipóteses de ressalvas.</w:t>
      </w:r>
    </w:p>
    <w:p w:rsidR="00F810C8" w:rsidRPr="0025256B" w:rsidRDefault="00F810C8" w:rsidP="00F810C8">
      <w:pPr>
        <w:pStyle w:val="Corpodetexto"/>
        <w:ind w:firstLine="2268"/>
        <w:jc w:val="both"/>
        <w:rPr>
          <w:sz w:val="26"/>
          <w:szCs w:val="26"/>
        </w:rPr>
      </w:pPr>
    </w:p>
    <w:p w:rsidR="00F810C8" w:rsidRPr="0025256B" w:rsidRDefault="00F810C8" w:rsidP="00F810C8">
      <w:pPr>
        <w:pStyle w:val="Corpodetexto"/>
        <w:ind w:firstLine="2268"/>
        <w:jc w:val="both"/>
        <w:rPr>
          <w:rFonts w:eastAsia="Times New Roman"/>
          <w:sz w:val="26"/>
          <w:szCs w:val="26"/>
        </w:rPr>
      </w:pPr>
      <w:r w:rsidRPr="0025256B">
        <w:rPr>
          <w:sz w:val="26"/>
          <w:szCs w:val="26"/>
        </w:rPr>
        <w:t xml:space="preserve">Veja que </w:t>
      </w:r>
      <w:r w:rsidR="00DA6EA6" w:rsidRPr="0025256B">
        <w:rPr>
          <w:sz w:val="26"/>
          <w:szCs w:val="26"/>
        </w:rPr>
        <w:t xml:space="preserve">o Projeto em tela trata exatamente sobre a imprescindível </w:t>
      </w:r>
      <w:r w:rsidRPr="0025256B">
        <w:rPr>
          <w:sz w:val="26"/>
          <w:szCs w:val="26"/>
        </w:rPr>
        <w:t xml:space="preserve">autorização legal desta Casa Legislativa para </w:t>
      </w:r>
      <w:r w:rsidR="00DA6EA6" w:rsidRPr="0025256B">
        <w:rPr>
          <w:sz w:val="26"/>
          <w:szCs w:val="26"/>
        </w:rPr>
        <w:t xml:space="preserve">se </w:t>
      </w:r>
      <w:r w:rsidRPr="0025256B">
        <w:rPr>
          <w:sz w:val="26"/>
          <w:szCs w:val="26"/>
        </w:rPr>
        <w:t>realiza</w:t>
      </w:r>
      <w:r w:rsidR="00DA6EA6" w:rsidRPr="0025256B">
        <w:rPr>
          <w:sz w:val="26"/>
          <w:szCs w:val="26"/>
        </w:rPr>
        <w:t xml:space="preserve">r o consequente </w:t>
      </w:r>
      <w:r w:rsidRPr="0025256B">
        <w:rPr>
          <w:sz w:val="26"/>
          <w:szCs w:val="26"/>
        </w:rPr>
        <w:t xml:space="preserve">negócio jurídico com outro ente do governo, qual seja, </w:t>
      </w:r>
      <w:r w:rsidR="00DA6EA6" w:rsidRPr="0025256B">
        <w:rPr>
          <w:sz w:val="26"/>
          <w:szCs w:val="26"/>
        </w:rPr>
        <w:t>o</w:t>
      </w:r>
      <w:r w:rsidRPr="0025256B">
        <w:rPr>
          <w:sz w:val="26"/>
          <w:szCs w:val="26"/>
        </w:rPr>
        <w:t xml:space="preserve"> </w:t>
      </w:r>
      <w:r w:rsidR="00DA6EA6" w:rsidRPr="0025256B">
        <w:rPr>
          <w:sz w:val="26"/>
          <w:szCs w:val="26"/>
        </w:rPr>
        <w:t>E</w:t>
      </w:r>
      <w:r w:rsidRPr="0025256B">
        <w:rPr>
          <w:sz w:val="26"/>
          <w:szCs w:val="26"/>
        </w:rPr>
        <w:t>stado de Minas Gerais, ressalvando, inclusive a possibilidade de reversão do imóvel doado, previsto no §2º do artigo 3º do projeto de Lei em análise.</w:t>
      </w:r>
    </w:p>
    <w:p w:rsidR="00F810C8" w:rsidRPr="0025256B" w:rsidRDefault="00F810C8" w:rsidP="00F810C8">
      <w:pPr>
        <w:pStyle w:val="Corpodetexto"/>
        <w:ind w:firstLine="2268"/>
        <w:jc w:val="both"/>
        <w:rPr>
          <w:rFonts w:eastAsia="Times New Roman"/>
          <w:sz w:val="26"/>
          <w:szCs w:val="26"/>
        </w:rPr>
      </w:pPr>
    </w:p>
    <w:p w:rsidR="00DA6EA6" w:rsidRPr="0025256B" w:rsidRDefault="00B63BBB" w:rsidP="00F810C8">
      <w:pPr>
        <w:pStyle w:val="Corpodetexto"/>
        <w:ind w:firstLine="2268"/>
        <w:jc w:val="both"/>
        <w:rPr>
          <w:rFonts w:eastAsia="Times New Roman"/>
          <w:sz w:val="26"/>
          <w:szCs w:val="26"/>
        </w:rPr>
      </w:pPr>
      <w:r w:rsidRPr="0025256B">
        <w:rPr>
          <w:rFonts w:eastAsia="Times New Roman"/>
          <w:sz w:val="26"/>
          <w:szCs w:val="26"/>
        </w:rPr>
        <w:t xml:space="preserve">No que se refere à </w:t>
      </w:r>
      <w:r w:rsidR="004D3F0E" w:rsidRPr="0025256B">
        <w:rPr>
          <w:rFonts w:eastAsia="Times New Roman"/>
          <w:sz w:val="26"/>
          <w:szCs w:val="26"/>
        </w:rPr>
        <w:t>avaliação do</w:t>
      </w:r>
      <w:r w:rsidR="004D3F0E" w:rsidRPr="0025256B">
        <w:rPr>
          <w:rFonts w:eastAsia="Times New Roman"/>
          <w:bCs/>
          <w:sz w:val="26"/>
          <w:szCs w:val="26"/>
        </w:rPr>
        <w:t xml:space="preserve"> imóvel</w:t>
      </w:r>
      <w:r w:rsidRPr="0025256B">
        <w:rPr>
          <w:rFonts w:eastAsia="Times New Roman"/>
          <w:bCs/>
          <w:sz w:val="26"/>
          <w:szCs w:val="26"/>
        </w:rPr>
        <w:t xml:space="preserve">, esta </w:t>
      </w:r>
      <w:r w:rsidR="004D3F0E" w:rsidRPr="0025256B">
        <w:rPr>
          <w:rFonts w:eastAsia="Times New Roman"/>
          <w:sz w:val="26"/>
          <w:szCs w:val="26"/>
        </w:rPr>
        <w:t>deverá ser feita por comissão especialmente nomeada para a tarefa, a qual procederá à perfeita identificação do bem e estabelecerá o valor do mesmo, com base em pesquisas de mercado.</w:t>
      </w:r>
    </w:p>
    <w:p w:rsidR="008E7108" w:rsidRPr="0025256B" w:rsidRDefault="008E7108" w:rsidP="00F810C8">
      <w:pPr>
        <w:pStyle w:val="Corpodetexto"/>
        <w:ind w:firstLine="2268"/>
        <w:jc w:val="both"/>
        <w:rPr>
          <w:rFonts w:eastAsia="Times New Roman"/>
          <w:sz w:val="26"/>
          <w:szCs w:val="26"/>
        </w:rPr>
      </w:pPr>
    </w:p>
    <w:p w:rsidR="00DA6EA6" w:rsidRDefault="00DA6EA6" w:rsidP="00DA6EA6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rFonts w:eastAsia="Times New Roman"/>
          <w:sz w:val="26"/>
          <w:szCs w:val="26"/>
        </w:rPr>
        <w:t xml:space="preserve">Neste contexto, o </w:t>
      </w:r>
      <w:r w:rsidRPr="0025256B">
        <w:rPr>
          <w:sz w:val="26"/>
          <w:szCs w:val="26"/>
        </w:rPr>
        <w:t>laudo avaliativo apresentado em anexo ao Projeto de Lei demonstra a estimativa de valor da parte desafetada e particulariza a área que o Município pretende doar para o Estado de Minas Gerais. Urge destacarmos a inexistência de prejuízo financeiro ao ente público, pois, uma vez comprovado o relevante interesse público e social, não se deve analisar apenas a inversão financeira, mas também a valorização indireta destinada à população de Cláudio/MG.</w:t>
      </w:r>
    </w:p>
    <w:p w:rsidR="00AB6E0F" w:rsidRPr="0025256B" w:rsidRDefault="00AB6E0F" w:rsidP="00DA6EA6">
      <w:pPr>
        <w:pStyle w:val="Corpodetexto"/>
        <w:ind w:firstLine="2268"/>
        <w:jc w:val="both"/>
        <w:rPr>
          <w:sz w:val="26"/>
          <w:szCs w:val="26"/>
        </w:rPr>
      </w:pPr>
    </w:p>
    <w:p w:rsidR="001E1AD8" w:rsidRPr="0025256B" w:rsidRDefault="00DA6EA6" w:rsidP="008146EC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 xml:space="preserve">Enfim, </w:t>
      </w:r>
      <w:r w:rsidR="001E1AD8" w:rsidRPr="0025256B">
        <w:rPr>
          <w:sz w:val="26"/>
          <w:szCs w:val="26"/>
        </w:rPr>
        <w:t xml:space="preserve">a devida autorização legislativa </w:t>
      </w:r>
      <w:r w:rsidRPr="0025256B">
        <w:rPr>
          <w:sz w:val="26"/>
          <w:szCs w:val="26"/>
        </w:rPr>
        <w:t>de desafetação de parte de imóvel urbano devidamente identificado e da consequente doação de parte da referida área, objetos do pre</w:t>
      </w:r>
      <w:r w:rsidR="001E1AD8" w:rsidRPr="0025256B">
        <w:rPr>
          <w:sz w:val="26"/>
          <w:szCs w:val="26"/>
        </w:rPr>
        <w:t xml:space="preserve">sente </w:t>
      </w:r>
      <w:r w:rsidRPr="0025256B">
        <w:rPr>
          <w:sz w:val="26"/>
          <w:szCs w:val="26"/>
        </w:rPr>
        <w:t>P</w:t>
      </w:r>
      <w:r w:rsidR="001E1AD8" w:rsidRPr="0025256B">
        <w:rPr>
          <w:sz w:val="26"/>
          <w:szCs w:val="26"/>
        </w:rPr>
        <w:t xml:space="preserve">rojeto de </w:t>
      </w:r>
      <w:r w:rsidRPr="0025256B">
        <w:rPr>
          <w:sz w:val="26"/>
          <w:szCs w:val="26"/>
        </w:rPr>
        <w:t>L</w:t>
      </w:r>
      <w:r w:rsidR="001E1AD8" w:rsidRPr="0025256B">
        <w:rPr>
          <w:sz w:val="26"/>
          <w:szCs w:val="26"/>
        </w:rPr>
        <w:t>ei, n</w:t>
      </w:r>
      <w:r w:rsidR="00DD20A3" w:rsidRPr="0025256B">
        <w:rPr>
          <w:sz w:val="26"/>
          <w:szCs w:val="26"/>
        </w:rPr>
        <w:t xml:space="preserve">ão se mostra divergente à </w:t>
      </w:r>
      <w:r w:rsidR="00B83FE0" w:rsidRPr="0025256B">
        <w:rPr>
          <w:sz w:val="26"/>
          <w:szCs w:val="26"/>
        </w:rPr>
        <w:t>legislação em vigor.</w:t>
      </w:r>
    </w:p>
    <w:p w:rsidR="00DA0CBD" w:rsidRPr="0025256B" w:rsidRDefault="00DA0CBD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E01B42" w:rsidRPr="0025256B" w:rsidRDefault="00E01B42" w:rsidP="00B83FE0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Com relação à</w:t>
      </w:r>
      <w:r w:rsidR="00935BAC" w:rsidRPr="0025256B">
        <w:rPr>
          <w:sz w:val="26"/>
          <w:szCs w:val="26"/>
        </w:rPr>
        <w:t>s</w:t>
      </w:r>
      <w:r w:rsidRPr="0025256B">
        <w:rPr>
          <w:sz w:val="26"/>
          <w:szCs w:val="26"/>
        </w:rPr>
        <w:t xml:space="preserve"> Emenda</w:t>
      </w:r>
      <w:r w:rsidR="00935BAC" w:rsidRPr="0025256B">
        <w:rPr>
          <w:sz w:val="26"/>
          <w:szCs w:val="26"/>
        </w:rPr>
        <w:t xml:space="preserve"> apresentadas, </w:t>
      </w:r>
      <w:r w:rsidR="006E6096" w:rsidRPr="0025256B">
        <w:rPr>
          <w:sz w:val="26"/>
          <w:szCs w:val="26"/>
        </w:rPr>
        <w:t>a</w:t>
      </w:r>
      <w:r w:rsidR="00935BAC" w:rsidRPr="0025256B">
        <w:rPr>
          <w:sz w:val="26"/>
          <w:szCs w:val="26"/>
        </w:rPr>
        <w:t>s</w:t>
      </w:r>
      <w:r w:rsidR="006E6096" w:rsidRPr="0025256B">
        <w:rPr>
          <w:sz w:val="26"/>
          <w:szCs w:val="26"/>
        </w:rPr>
        <w:t xml:space="preserve"> </w:t>
      </w:r>
      <w:r w:rsidR="00935BAC" w:rsidRPr="0025256B">
        <w:rPr>
          <w:sz w:val="26"/>
          <w:szCs w:val="26"/>
        </w:rPr>
        <w:t xml:space="preserve">suas </w:t>
      </w:r>
      <w:r w:rsidR="006E6096" w:rsidRPr="0025256B">
        <w:rPr>
          <w:sz w:val="26"/>
          <w:szCs w:val="26"/>
        </w:rPr>
        <w:t>iniciativa</w:t>
      </w:r>
      <w:r w:rsidR="00935BAC" w:rsidRPr="0025256B">
        <w:rPr>
          <w:sz w:val="26"/>
          <w:szCs w:val="26"/>
        </w:rPr>
        <w:t>s</w:t>
      </w:r>
      <w:r w:rsidR="006E6096" w:rsidRPr="0025256B">
        <w:rPr>
          <w:sz w:val="26"/>
          <w:szCs w:val="26"/>
        </w:rPr>
        <w:t xml:space="preserve"> e autoria</w:t>
      </w:r>
      <w:r w:rsidR="00935BAC" w:rsidRPr="0025256B">
        <w:rPr>
          <w:sz w:val="26"/>
          <w:szCs w:val="26"/>
        </w:rPr>
        <w:t>s</w:t>
      </w:r>
      <w:r w:rsidR="006E6096" w:rsidRPr="0025256B">
        <w:rPr>
          <w:sz w:val="26"/>
          <w:szCs w:val="26"/>
        </w:rPr>
        <w:t xml:space="preserve"> são legais, uma vez que ela</w:t>
      </w:r>
      <w:r w:rsidR="00935BAC" w:rsidRPr="0025256B">
        <w:rPr>
          <w:sz w:val="26"/>
          <w:szCs w:val="26"/>
        </w:rPr>
        <w:t>s</w:t>
      </w:r>
      <w:r w:rsidR="006E6096" w:rsidRPr="0025256B">
        <w:rPr>
          <w:sz w:val="26"/>
          <w:szCs w:val="26"/>
        </w:rPr>
        <w:t xml:space="preserve"> apresenta</w:t>
      </w:r>
      <w:r w:rsidR="00935BAC" w:rsidRPr="0025256B">
        <w:rPr>
          <w:sz w:val="26"/>
          <w:szCs w:val="26"/>
        </w:rPr>
        <w:t>m</w:t>
      </w:r>
      <w:r w:rsidR="006E6096" w:rsidRPr="0025256B">
        <w:rPr>
          <w:sz w:val="26"/>
          <w:szCs w:val="26"/>
        </w:rPr>
        <w:t xml:space="preserve"> relação direita ao texto do projeto</w:t>
      </w:r>
      <w:r w:rsidR="00935BAC" w:rsidRPr="0025256B">
        <w:rPr>
          <w:sz w:val="26"/>
          <w:szCs w:val="26"/>
        </w:rPr>
        <w:t>. A emenda nº02 modificativa prevê a desafetação meramente da área destinada à doação para o Estado de Minas Gerais, alterando, portanto, a área de objeto do projeto em tela. Já a emenda nº03 Aditiva por sua vez visa manter o texto original do projeto e nele acrescer o artigo 5º, especificando o direcionamento da área desafetada excedente àquela destinada para a doação do artigo 2º</w:t>
      </w:r>
      <w:r w:rsidR="006E6096" w:rsidRPr="0025256B">
        <w:rPr>
          <w:sz w:val="26"/>
          <w:szCs w:val="26"/>
        </w:rPr>
        <w:t xml:space="preserve">. </w:t>
      </w:r>
    </w:p>
    <w:p w:rsidR="00E01B42" w:rsidRPr="0025256B" w:rsidRDefault="00E01B42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2117ED" w:rsidRPr="0025256B" w:rsidRDefault="002117ED" w:rsidP="008146EC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E</w:t>
      </w:r>
      <w:r w:rsidR="0036537E" w:rsidRPr="0025256B">
        <w:rPr>
          <w:sz w:val="26"/>
          <w:szCs w:val="26"/>
        </w:rPr>
        <w:t>ntende este parecerista</w:t>
      </w:r>
      <w:r w:rsidR="0012506E" w:rsidRPr="0025256B">
        <w:rPr>
          <w:sz w:val="26"/>
          <w:szCs w:val="26"/>
        </w:rPr>
        <w:t xml:space="preserve">, portanto, </w:t>
      </w:r>
      <w:r w:rsidR="0036537E" w:rsidRPr="0025256B">
        <w:rPr>
          <w:sz w:val="26"/>
          <w:szCs w:val="26"/>
        </w:rPr>
        <w:t xml:space="preserve">de acordo com o </w:t>
      </w:r>
      <w:r w:rsidR="001E1AD8" w:rsidRPr="0025256B">
        <w:rPr>
          <w:sz w:val="26"/>
          <w:szCs w:val="26"/>
        </w:rPr>
        <w:t xml:space="preserve">Projeto de Lei </w:t>
      </w:r>
      <w:r w:rsidR="000B4367" w:rsidRPr="0025256B">
        <w:rPr>
          <w:sz w:val="26"/>
          <w:szCs w:val="26"/>
        </w:rPr>
        <w:t>2</w:t>
      </w:r>
      <w:r w:rsidR="00367B65" w:rsidRPr="0025256B">
        <w:rPr>
          <w:sz w:val="26"/>
          <w:szCs w:val="26"/>
        </w:rPr>
        <w:t>6</w:t>
      </w:r>
      <w:r w:rsidR="001E1AD8" w:rsidRPr="0025256B">
        <w:rPr>
          <w:sz w:val="26"/>
          <w:szCs w:val="26"/>
        </w:rPr>
        <w:t>/2017</w:t>
      </w:r>
      <w:r w:rsidR="00E01B42" w:rsidRPr="0025256B">
        <w:rPr>
          <w:sz w:val="26"/>
          <w:szCs w:val="26"/>
        </w:rPr>
        <w:t xml:space="preserve"> e a</w:t>
      </w:r>
      <w:r w:rsidR="00935BAC" w:rsidRPr="0025256B">
        <w:rPr>
          <w:sz w:val="26"/>
          <w:szCs w:val="26"/>
        </w:rPr>
        <w:t>s</w:t>
      </w:r>
      <w:r w:rsidR="00E01B42" w:rsidRPr="0025256B">
        <w:rPr>
          <w:sz w:val="26"/>
          <w:szCs w:val="26"/>
        </w:rPr>
        <w:t xml:space="preserve"> respectiva</w:t>
      </w:r>
      <w:r w:rsidR="00935BAC" w:rsidRPr="0025256B">
        <w:rPr>
          <w:sz w:val="26"/>
          <w:szCs w:val="26"/>
        </w:rPr>
        <w:t>s</w:t>
      </w:r>
      <w:r w:rsidR="00E01B42" w:rsidRPr="0025256B">
        <w:rPr>
          <w:sz w:val="26"/>
          <w:szCs w:val="26"/>
        </w:rPr>
        <w:t xml:space="preserve"> emenda</w:t>
      </w:r>
      <w:r w:rsidR="00935BAC" w:rsidRPr="0025256B">
        <w:rPr>
          <w:sz w:val="26"/>
          <w:szCs w:val="26"/>
        </w:rPr>
        <w:t>s</w:t>
      </w:r>
      <w:r w:rsidR="00E01B42" w:rsidRPr="0025256B">
        <w:rPr>
          <w:sz w:val="26"/>
          <w:szCs w:val="26"/>
        </w:rPr>
        <w:t xml:space="preserve"> nº0</w:t>
      </w:r>
      <w:r w:rsidR="00935BAC" w:rsidRPr="0025256B">
        <w:rPr>
          <w:sz w:val="26"/>
          <w:szCs w:val="26"/>
        </w:rPr>
        <w:t>2</w:t>
      </w:r>
      <w:r w:rsidR="00B83FE0" w:rsidRPr="0025256B">
        <w:rPr>
          <w:sz w:val="26"/>
          <w:szCs w:val="26"/>
        </w:rPr>
        <w:t xml:space="preserve"> Modificativa</w:t>
      </w:r>
      <w:r w:rsidR="00935BAC" w:rsidRPr="0025256B">
        <w:rPr>
          <w:sz w:val="26"/>
          <w:szCs w:val="26"/>
        </w:rPr>
        <w:t xml:space="preserve"> e nº03 Aditiva, </w:t>
      </w:r>
      <w:r w:rsidR="001E1AD8" w:rsidRPr="0025256B">
        <w:rPr>
          <w:sz w:val="26"/>
          <w:szCs w:val="26"/>
        </w:rPr>
        <w:t xml:space="preserve">haja vista a presença dos requisitos permissivos </w:t>
      </w:r>
      <w:r w:rsidR="000B4367" w:rsidRPr="0025256B">
        <w:rPr>
          <w:sz w:val="26"/>
          <w:szCs w:val="26"/>
        </w:rPr>
        <w:t xml:space="preserve">à </w:t>
      </w:r>
      <w:r w:rsidR="001E1AD8" w:rsidRPr="0025256B">
        <w:rPr>
          <w:sz w:val="26"/>
          <w:szCs w:val="26"/>
        </w:rPr>
        <w:t xml:space="preserve">Administração Pública. </w:t>
      </w:r>
    </w:p>
    <w:p w:rsidR="001E1AD8" w:rsidRPr="0025256B" w:rsidRDefault="001E1AD8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25256B" w:rsidRDefault="008146EC" w:rsidP="008146EC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Portanto, nos termos de toda a legislação aplicável à espécie – Constituição Federal, Lei Orgânica e Regimento Interno desta Casa Legislativa – o projeto</w:t>
      </w:r>
      <w:r w:rsidR="00092469" w:rsidRPr="0025256B">
        <w:rPr>
          <w:sz w:val="26"/>
          <w:szCs w:val="26"/>
        </w:rPr>
        <w:t xml:space="preserve"> e a</w:t>
      </w:r>
      <w:r w:rsidR="00935BAC" w:rsidRPr="0025256B">
        <w:rPr>
          <w:sz w:val="26"/>
          <w:szCs w:val="26"/>
        </w:rPr>
        <w:t>s</w:t>
      </w:r>
      <w:r w:rsidR="00092469" w:rsidRPr="0025256B">
        <w:rPr>
          <w:sz w:val="26"/>
          <w:szCs w:val="26"/>
        </w:rPr>
        <w:t xml:space="preserve"> emenda</w:t>
      </w:r>
      <w:r w:rsidR="00935BAC" w:rsidRPr="0025256B">
        <w:rPr>
          <w:sz w:val="26"/>
          <w:szCs w:val="26"/>
        </w:rPr>
        <w:t xml:space="preserve">s </w:t>
      </w:r>
      <w:r w:rsidR="00092469" w:rsidRPr="0025256B">
        <w:rPr>
          <w:sz w:val="26"/>
          <w:szCs w:val="26"/>
        </w:rPr>
        <w:t xml:space="preserve">são </w:t>
      </w:r>
      <w:r w:rsidR="0045545F" w:rsidRPr="0025256B">
        <w:rPr>
          <w:sz w:val="26"/>
          <w:szCs w:val="26"/>
        </w:rPr>
        <w:t>l</w:t>
      </w:r>
      <w:r w:rsidRPr="0025256B">
        <w:rPr>
          <w:sz w:val="26"/>
          <w:szCs w:val="26"/>
        </w:rPr>
        <w:t>ega</w:t>
      </w:r>
      <w:r w:rsidR="00092469" w:rsidRPr="0025256B">
        <w:rPr>
          <w:sz w:val="26"/>
          <w:szCs w:val="26"/>
        </w:rPr>
        <w:t>is</w:t>
      </w:r>
      <w:r w:rsidRPr="0025256B">
        <w:rPr>
          <w:sz w:val="26"/>
          <w:szCs w:val="26"/>
        </w:rPr>
        <w:t xml:space="preserve"> e constituciona</w:t>
      </w:r>
      <w:r w:rsidR="00092469" w:rsidRPr="0025256B">
        <w:rPr>
          <w:sz w:val="26"/>
          <w:szCs w:val="26"/>
        </w:rPr>
        <w:t>is</w:t>
      </w:r>
      <w:r w:rsidRPr="0025256B">
        <w:rPr>
          <w:sz w:val="26"/>
          <w:szCs w:val="26"/>
        </w:rPr>
        <w:t>.</w:t>
      </w:r>
    </w:p>
    <w:p w:rsidR="000B4367" w:rsidRPr="0025256B" w:rsidRDefault="000B4367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25256B" w:rsidRDefault="00505D36" w:rsidP="008146EC">
      <w:pPr>
        <w:pStyle w:val="Corpodetexto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>N</w:t>
      </w:r>
      <w:r w:rsidR="008146EC" w:rsidRPr="0025256B">
        <w:rPr>
          <w:sz w:val="26"/>
          <w:szCs w:val="26"/>
        </w:rPr>
        <w:t>ão há</w:t>
      </w:r>
      <w:r w:rsidRPr="0025256B">
        <w:rPr>
          <w:sz w:val="26"/>
          <w:szCs w:val="26"/>
        </w:rPr>
        <w:t xml:space="preserve"> </w:t>
      </w:r>
      <w:r w:rsidR="008146EC" w:rsidRPr="0025256B">
        <w:rPr>
          <w:sz w:val="26"/>
          <w:szCs w:val="26"/>
        </w:rPr>
        <w:t xml:space="preserve">objeção quanto </w:t>
      </w:r>
      <w:r w:rsidR="00741AB4" w:rsidRPr="0025256B">
        <w:rPr>
          <w:sz w:val="26"/>
          <w:szCs w:val="26"/>
        </w:rPr>
        <w:t>à</w:t>
      </w:r>
      <w:r w:rsidR="008146EC" w:rsidRPr="0025256B">
        <w:rPr>
          <w:sz w:val="26"/>
          <w:szCs w:val="26"/>
        </w:rPr>
        <w:t xml:space="preserve"> constitucionalidade e</w:t>
      </w:r>
      <w:r w:rsidR="00741AB4" w:rsidRPr="0025256B">
        <w:rPr>
          <w:sz w:val="26"/>
          <w:szCs w:val="26"/>
        </w:rPr>
        <w:t xml:space="preserve"> à</w:t>
      </w:r>
      <w:r w:rsidR="008146EC" w:rsidRPr="0025256B">
        <w:rPr>
          <w:sz w:val="26"/>
          <w:szCs w:val="26"/>
        </w:rPr>
        <w:t xml:space="preserve"> legalidade do projeto</w:t>
      </w:r>
      <w:r w:rsidR="007208E9" w:rsidRPr="0025256B">
        <w:rPr>
          <w:sz w:val="26"/>
          <w:szCs w:val="26"/>
        </w:rPr>
        <w:t xml:space="preserve"> e da</w:t>
      </w:r>
      <w:r w:rsidR="00935BAC" w:rsidRPr="0025256B">
        <w:rPr>
          <w:sz w:val="26"/>
          <w:szCs w:val="26"/>
        </w:rPr>
        <w:t>s</w:t>
      </w:r>
      <w:r w:rsidR="007208E9" w:rsidRPr="0025256B">
        <w:rPr>
          <w:sz w:val="26"/>
          <w:szCs w:val="26"/>
        </w:rPr>
        <w:t xml:space="preserve"> emenda</w:t>
      </w:r>
      <w:r w:rsidR="00935BAC" w:rsidRPr="0025256B">
        <w:rPr>
          <w:sz w:val="26"/>
          <w:szCs w:val="26"/>
        </w:rPr>
        <w:t>s</w:t>
      </w:r>
      <w:r w:rsidR="007208E9" w:rsidRPr="0025256B">
        <w:rPr>
          <w:sz w:val="26"/>
          <w:szCs w:val="26"/>
        </w:rPr>
        <w:t xml:space="preserve"> nº</w:t>
      </w:r>
      <w:r w:rsidR="00CA62D3" w:rsidRPr="0025256B">
        <w:rPr>
          <w:sz w:val="26"/>
          <w:szCs w:val="26"/>
        </w:rPr>
        <w:t>.</w:t>
      </w:r>
      <w:r w:rsidR="007208E9" w:rsidRPr="0025256B">
        <w:rPr>
          <w:sz w:val="26"/>
          <w:szCs w:val="26"/>
        </w:rPr>
        <w:t>0</w:t>
      </w:r>
      <w:r w:rsidR="00935BAC" w:rsidRPr="0025256B">
        <w:rPr>
          <w:sz w:val="26"/>
          <w:szCs w:val="26"/>
        </w:rPr>
        <w:t>2</w:t>
      </w:r>
      <w:r w:rsidR="00CA62D3" w:rsidRPr="0025256B">
        <w:rPr>
          <w:sz w:val="26"/>
          <w:szCs w:val="26"/>
        </w:rPr>
        <w:t xml:space="preserve"> Modificativa</w:t>
      </w:r>
      <w:r w:rsidR="00935BAC" w:rsidRPr="0025256B">
        <w:rPr>
          <w:sz w:val="26"/>
          <w:szCs w:val="26"/>
        </w:rPr>
        <w:t xml:space="preserve"> e nº03 Aditiva</w:t>
      </w:r>
      <w:r w:rsidR="007208E9" w:rsidRPr="0025256B">
        <w:rPr>
          <w:sz w:val="26"/>
          <w:szCs w:val="26"/>
        </w:rPr>
        <w:t xml:space="preserve">. </w:t>
      </w:r>
      <w:r w:rsidR="008146EC" w:rsidRPr="0025256B">
        <w:rPr>
          <w:sz w:val="26"/>
          <w:szCs w:val="26"/>
        </w:rPr>
        <w:t>De outro lado cumpre</w:t>
      </w:r>
      <w:r w:rsidR="00935BAC" w:rsidRPr="0025256B">
        <w:rPr>
          <w:sz w:val="26"/>
          <w:szCs w:val="26"/>
        </w:rPr>
        <w:t>m</w:t>
      </w:r>
      <w:r w:rsidR="008146EC" w:rsidRPr="0025256B">
        <w:rPr>
          <w:sz w:val="26"/>
          <w:szCs w:val="26"/>
        </w:rPr>
        <w:t xml:space="preserve"> os requisitos exigidos na legislação em vigor, estando garantida a juridicidade deles.</w:t>
      </w:r>
    </w:p>
    <w:p w:rsidR="00F72113" w:rsidRDefault="00F72113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AB6E0F" w:rsidRPr="0025256B" w:rsidRDefault="00AB6E0F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167E99" w:rsidRPr="00B4649C" w:rsidRDefault="008146EC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25256B">
        <w:rPr>
          <w:sz w:val="26"/>
          <w:szCs w:val="26"/>
        </w:rPr>
        <w:t xml:space="preserve">Por fim, o projeto </w:t>
      </w:r>
      <w:r w:rsidR="004D3AFD" w:rsidRPr="0025256B">
        <w:rPr>
          <w:sz w:val="26"/>
          <w:szCs w:val="26"/>
        </w:rPr>
        <w:t>e emenda</w:t>
      </w:r>
      <w:r w:rsidR="00935BAC" w:rsidRPr="0025256B">
        <w:rPr>
          <w:sz w:val="26"/>
          <w:szCs w:val="26"/>
        </w:rPr>
        <w:t>s</w:t>
      </w:r>
      <w:r w:rsidR="004D3AFD" w:rsidRPr="0025256B">
        <w:rPr>
          <w:sz w:val="26"/>
          <w:szCs w:val="26"/>
        </w:rPr>
        <w:t xml:space="preserve"> </w:t>
      </w:r>
      <w:r w:rsidRPr="0025256B">
        <w:rPr>
          <w:sz w:val="26"/>
          <w:szCs w:val="26"/>
        </w:rPr>
        <w:t>encontra</w:t>
      </w:r>
      <w:r w:rsidR="004D3AFD" w:rsidRPr="0025256B">
        <w:rPr>
          <w:sz w:val="26"/>
          <w:szCs w:val="26"/>
        </w:rPr>
        <w:t>m</w:t>
      </w:r>
      <w:r w:rsidRPr="0025256B">
        <w:rPr>
          <w:sz w:val="26"/>
          <w:szCs w:val="26"/>
        </w:rPr>
        <w:t>-se redigido</w:t>
      </w:r>
      <w:r w:rsidR="004D3AFD" w:rsidRPr="0025256B">
        <w:rPr>
          <w:sz w:val="26"/>
          <w:szCs w:val="26"/>
        </w:rPr>
        <w:t>s</w:t>
      </w:r>
      <w:r w:rsidRPr="0025256B">
        <w:rPr>
          <w:sz w:val="26"/>
          <w:szCs w:val="26"/>
        </w:rPr>
        <w:t xml:space="preserve"> em boa técnica legislativa, respeitado</w:t>
      </w:r>
      <w:r w:rsidR="004D3AFD" w:rsidRPr="0025256B">
        <w:rPr>
          <w:sz w:val="26"/>
          <w:szCs w:val="26"/>
        </w:rPr>
        <w:t>s</w:t>
      </w:r>
      <w:r w:rsidRPr="0025256B">
        <w:rPr>
          <w:sz w:val="26"/>
          <w:szCs w:val="26"/>
        </w:rPr>
        <w:t xml:space="preserve"> inclusive os preceitos da Lei Complementar 95, de 26.02.1998, atendendo aos requisitos legais necessários e indispensáveis exigidos, tanto pela legislação federal quanto municipal,</w:t>
      </w:r>
      <w:r w:rsidRPr="00B4649C">
        <w:rPr>
          <w:sz w:val="26"/>
          <w:szCs w:val="26"/>
        </w:rPr>
        <w:t xml:space="preserve"> estando aptos à tramitação, discussão e deliberação pelo Plenário.</w:t>
      </w:r>
    </w:p>
    <w:p w:rsidR="00103194" w:rsidRPr="00B4649C" w:rsidRDefault="00103194" w:rsidP="00661172">
      <w:pPr>
        <w:jc w:val="both"/>
        <w:rPr>
          <w:sz w:val="26"/>
          <w:szCs w:val="26"/>
        </w:rPr>
      </w:pPr>
    </w:p>
    <w:p w:rsidR="00D419E6" w:rsidRPr="00B4649C" w:rsidRDefault="00D419E6" w:rsidP="00661172">
      <w:pPr>
        <w:jc w:val="both"/>
        <w:rPr>
          <w:sz w:val="26"/>
          <w:szCs w:val="26"/>
        </w:rPr>
      </w:pPr>
    </w:p>
    <w:p w:rsidR="00167E99" w:rsidRPr="00B4649C" w:rsidRDefault="00167E99" w:rsidP="00661172">
      <w:pPr>
        <w:jc w:val="center"/>
        <w:outlineLvl w:val="0"/>
        <w:rPr>
          <w:b/>
          <w:sz w:val="26"/>
          <w:szCs w:val="26"/>
          <w:u w:val="single"/>
        </w:rPr>
      </w:pPr>
      <w:r w:rsidRPr="00B4649C">
        <w:rPr>
          <w:b/>
          <w:sz w:val="26"/>
          <w:szCs w:val="26"/>
          <w:u w:val="single"/>
        </w:rPr>
        <w:t>CONCLUSÃO</w:t>
      </w:r>
    </w:p>
    <w:p w:rsidR="00103194" w:rsidRPr="00B4649C" w:rsidRDefault="00103194" w:rsidP="00661172">
      <w:pPr>
        <w:jc w:val="both"/>
        <w:rPr>
          <w:sz w:val="26"/>
          <w:szCs w:val="26"/>
        </w:rPr>
      </w:pPr>
    </w:p>
    <w:p w:rsidR="00D419E6" w:rsidRPr="00B4649C" w:rsidRDefault="00D419E6" w:rsidP="00661172">
      <w:pPr>
        <w:jc w:val="both"/>
        <w:rPr>
          <w:sz w:val="26"/>
          <w:szCs w:val="26"/>
        </w:rPr>
      </w:pPr>
    </w:p>
    <w:p w:rsidR="00167E99" w:rsidRPr="00B4649C" w:rsidRDefault="00167E99" w:rsidP="00661172">
      <w:pPr>
        <w:jc w:val="both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 xml:space="preserve">Assim, somos pela constitucionalidade, </w:t>
      </w:r>
      <w:r w:rsidR="00CE7942" w:rsidRPr="00B4649C">
        <w:rPr>
          <w:sz w:val="26"/>
          <w:szCs w:val="26"/>
        </w:rPr>
        <w:t xml:space="preserve">legalidade, </w:t>
      </w:r>
      <w:r w:rsidRPr="00B4649C">
        <w:rPr>
          <w:sz w:val="26"/>
          <w:szCs w:val="26"/>
        </w:rPr>
        <w:t>juridici</w:t>
      </w:r>
      <w:r w:rsidR="004154D6" w:rsidRPr="00B4649C">
        <w:rPr>
          <w:sz w:val="26"/>
          <w:szCs w:val="26"/>
        </w:rPr>
        <w:t>dade e boa técnica legislativa tanto do</w:t>
      </w:r>
      <w:r w:rsidRPr="00B4649C">
        <w:rPr>
          <w:sz w:val="26"/>
          <w:szCs w:val="26"/>
        </w:rPr>
        <w:t xml:space="preserve"> Projeto de </w:t>
      </w:r>
      <w:r w:rsidR="009B09B5" w:rsidRPr="00B4649C">
        <w:rPr>
          <w:sz w:val="26"/>
          <w:szCs w:val="26"/>
        </w:rPr>
        <w:t>Lei</w:t>
      </w:r>
      <w:r w:rsidR="00B202E5" w:rsidRPr="00B4649C">
        <w:rPr>
          <w:sz w:val="26"/>
          <w:szCs w:val="26"/>
        </w:rPr>
        <w:t xml:space="preserve"> </w:t>
      </w:r>
      <w:r w:rsidR="009B09B5" w:rsidRPr="00B4649C">
        <w:rPr>
          <w:sz w:val="26"/>
          <w:szCs w:val="26"/>
        </w:rPr>
        <w:t xml:space="preserve">nº </w:t>
      </w:r>
      <w:r w:rsidR="00156179" w:rsidRPr="00B4649C">
        <w:rPr>
          <w:sz w:val="26"/>
          <w:szCs w:val="26"/>
        </w:rPr>
        <w:t>2</w:t>
      </w:r>
      <w:r w:rsidR="00367B65" w:rsidRPr="00B4649C">
        <w:rPr>
          <w:sz w:val="26"/>
          <w:szCs w:val="26"/>
        </w:rPr>
        <w:t>6</w:t>
      </w:r>
      <w:r w:rsidR="009B09B5" w:rsidRPr="00B4649C">
        <w:rPr>
          <w:sz w:val="26"/>
          <w:szCs w:val="26"/>
        </w:rPr>
        <w:t>/20</w:t>
      </w:r>
      <w:r w:rsidR="00CE7942" w:rsidRPr="00B4649C">
        <w:rPr>
          <w:sz w:val="26"/>
          <w:szCs w:val="26"/>
        </w:rPr>
        <w:t>1</w:t>
      </w:r>
      <w:r w:rsidR="00A61236" w:rsidRPr="00B4649C">
        <w:rPr>
          <w:sz w:val="26"/>
          <w:szCs w:val="26"/>
        </w:rPr>
        <w:t>7</w:t>
      </w:r>
      <w:r w:rsidR="004D3AFD" w:rsidRPr="00B4649C">
        <w:rPr>
          <w:sz w:val="26"/>
          <w:szCs w:val="26"/>
        </w:rPr>
        <w:t xml:space="preserve"> quanto pela</w:t>
      </w:r>
      <w:r w:rsidR="00935BAC" w:rsidRPr="00B4649C">
        <w:rPr>
          <w:sz w:val="26"/>
          <w:szCs w:val="26"/>
        </w:rPr>
        <w:t>s</w:t>
      </w:r>
      <w:r w:rsidR="004D3AFD" w:rsidRPr="00B4649C">
        <w:rPr>
          <w:sz w:val="26"/>
          <w:szCs w:val="26"/>
        </w:rPr>
        <w:t xml:space="preserve"> Emenda </w:t>
      </w:r>
      <w:r w:rsidR="00CA62D3" w:rsidRPr="00B4649C">
        <w:rPr>
          <w:sz w:val="26"/>
          <w:szCs w:val="26"/>
        </w:rPr>
        <w:t>nº.0</w:t>
      </w:r>
      <w:r w:rsidR="00935BAC" w:rsidRPr="00B4649C">
        <w:rPr>
          <w:sz w:val="26"/>
          <w:szCs w:val="26"/>
        </w:rPr>
        <w:t>2</w:t>
      </w:r>
      <w:r w:rsidR="00CA62D3" w:rsidRPr="00B4649C">
        <w:rPr>
          <w:sz w:val="26"/>
          <w:szCs w:val="26"/>
        </w:rPr>
        <w:t xml:space="preserve"> Modificativa</w:t>
      </w:r>
      <w:r w:rsidR="00935BAC" w:rsidRPr="00B4649C">
        <w:rPr>
          <w:sz w:val="26"/>
          <w:szCs w:val="26"/>
        </w:rPr>
        <w:t xml:space="preserve"> e nº03 Aditiva</w:t>
      </w:r>
      <w:r w:rsidR="00CA62D3" w:rsidRPr="00B4649C">
        <w:rPr>
          <w:sz w:val="26"/>
          <w:szCs w:val="26"/>
        </w:rPr>
        <w:t xml:space="preserve">, </w:t>
      </w:r>
      <w:r w:rsidR="00170CEF" w:rsidRPr="00B4649C">
        <w:rPr>
          <w:sz w:val="26"/>
          <w:szCs w:val="26"/>
        </w:rPr>
        <w:t>estando apto</w:t>
      </w:r>
      <w:r w:rsidR="004D3AFD" w:rsidRPr="00B4649C">
        <w:rPr>
          <w:sz w:val="26"/>
          <w:szCs w:val="26"/>
        </w:rPr>
        <w:t>s</w:t>
      </w:r>
      <w:r w:rsidR="004154D6" w:rsidRPr="00B4649C">
        <w:rPr>
          <w:sz w:val="26"/>
          <w:szCs w:val="26"/>
        </w:rPr>
        <w:t xml:space="preserve"> </w:t>
      </w:r>
      <w:r w:rsidR="009B09B5" w:rsidRPr="00B4649C">
        <w:rPr>
          <w:sz w:val="26"/>
          <w:szCs w:val="26"/>
        </w:rPr>
        <w:t>à tramitação, discussão e deliberação Plenária.</w:t>
      </w:r>
    </w:p>
    <w:p w:rsidR="00F72113" w:rsidRPr="00B4649C" w:rsidRDefault="00F72113" w:rsidP="00661172">
      <w:pPr>
        <w:jc w:val="both"/>
        <w:rPr>
          <w:sz w:val="26"/>
          <w:szCs w:val="26"/>
        </w:rPr>
      </w:pPr>
    </w:p>
    <w:p w:rsidR="00F72113" w:rsidRPr="00B4649C" w:rsidRDefault="00F72113" w:rsidP="00661172">
      <w:pPr>
        <w:jc w:val="both"/>
        <w:rPr>
          <w:sz w:val="26"/>
          <w:szCs w:val="26"/>
        </w:rPr>
      </w:pPr>
    </w:p>
    <w:p w:rsidR="00167E99" w:rsidRPr="00B4649C" w:rsidRDefault="00167E99" w:rsidP="00661172">
      <w:pPr>
        <w:jc w:val="both"/>
        <w:outlineLvl w:val="0"/>
        <w:rPr>
          <w:sz w:val="26"/>
          <w:szCs w:val="26"/>
        </w:rPr>
      </w:pP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</w:r>
      <w:r w:rsidRPr="00B4649C">
        <w:rPr>
          <w:sz w:val="26"/>
          <w:szCs w:val="26"/>
        </w:rPr>
        <w:tab/>
        <w:t xml:space="preserve">Este é o parecer </w:t>
      </w:r>
      <w:r w:rsidRPr="00B4649C">
        <w:rPr>
          <w:i/>
          <w:sz w:val="26"/>
          <w:szCs w:val="26"/>
        </w:rPr>
        <w:t>sub</w:t>
      </w:r>
      <w:r w:rsidR="00A85D07" w:rsidRPr="00B4649C">
        <w:rPr>
          <w:sz w:val="26"/>
          <w:szCs w:val="26"/>
        </w:rPr>
        <w:t xml:space="preserve"> censura</w:t>
      </w:r>
      <w:r w:rsidRPr="00B4649C">
        <w:rPr>
          <w:sz w:val="26"/>
          <w:szCs w:val="26"/>
        </w:rPr>
        <w:t>!</w:t>
      </w:r>
    </w:p>
    <w:p w:rsidR="00167E99" w:rsidRPr="00B4649C" w:rsidRDefault="00167E99" w:rsidP="00661172">
      <w:pPr>
        <w:jc w:val="both"/>
        <w:rPr>
          <w:sz w:val="26"/>
          <w:szCs w:val="26"/>
        </w:rPr>
      </w:pPr>
    </w:p>
    <w:p w:rsidR="00312DD9" w:rsidRPr="00B4649C" w:rsidRDefault="00312DD9" w:rsidP="00661172">
      <w:pPr>
        <w:jc w:val="both"/>
        <w:rPr>
          <w:sz w:val="26"/>
          <w:szCs w:val="26"/>
        </w:rPr>
      </w:pPr>
    </w:p>
    <w:p w:rsidR="00167E99" w:rsidRPr="00B4649C" w:rsidRDefault="003C4C1F" w:rsidP="003C4C1F">
      <w:pPr>
        <w:ind w:firstLine="1985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 xml:space="preserve">  </w:t>
      </w:r>
      <w:r w:rsidR="009B09B5" w:rsidRPr="00B4649C">
        <w:rPr>
          <w:b/>
          <w:sz w:val="26"/>
          <w:szCs w:val="26"/>
        </w:rPr>
        <w:t xml:space="preserve">Cláudio </w:t>
      </w:r>
      <w:r w:rsidR="00167E99" w:rsidRPr="00B4649C">
        <w:rPr>
          <w:b/>
          <w:sz w:val="26"/>
          <w:szCs w:val="26"/>
        </w:rPr>
        <w:t xml:space="preserve">(MG), </w:t>
      </w:r>
      <w:r w:rsidR="00845663" w:rsidRPr="00B4649C">
        <w:rPr>
          <w:b/>
          <w:sz w:val="26"/>
          <w:szCs w:val="26"/>
        </w:rPr>
        <w:t>13</w:t>
      </w:r>
      <w:r w:rsidR="00167E99" w:rsidRPr="00B4649C">
        <w:rPr>
          <w:b/>
          <w:sz w:val="26"/>
          <w:szCs w:val="26"/>
        </w:rPr>
        <w:t xml:space="preserve"> de </w:t>
      </w:r>
      <w:r w:rsidR="00156179" w:rsidRPr="00B4649C">
        <w:rPr>
          <w:b/>
          <w:sz w:val="26"/>
          <w:szCs w:val="26"/>
        </w:rPr>
        <w:t xml:space="preserve">dezembro </w:t>
      </w:r>
      <w:r w:rsidR="00167E99" w:rsidRPr="00B4649C">
        <w:rPr>
          <w:b/>
          <w:sz w:val="26"/>
          <w:szCs w:val="26"/>
        </w:rPr>
        <w:t>de 20</w:t>
      </w:r>
      <w:r w:rsidR="009B09B5" w:rsidRPr="00B4649C">
        <w:rPr>
          <w:b/>
          <w:sz w:val="26"/>
          <w:szCs w:val="26"/>
        </w:rPr>
        <w:t>1</w:t>
      </w:r>
      <w:r w:rsidRPr="00B4649C">
        <w:rPr>
          <w:b/>
          <w:sz w:val="26"/>
          <w:szCs w:val="26"/>
        </w:rPr>
        <w:t>7</w:t>
      </w:r>
      <w:r w:rsidR="00167E99" w:rsidRPr="00B4649C">
        <w:rPr>
          <w:b/>
          <w:sz w:val="26"/>
          <w:szCs w:val="26"/>
        </w:rPr>
        <w:t>.</w:t>
      </w:r>
    </w:p>
    <w:p w:rsidR="00167E99" w:rsidRPr="00B4649C" w:rsidRDefault="00167E99" w:rsidP="00661172">
      <w:pPr>
        <w:rPr>
          <w:b/>
          <w:sz w:val="26"/>
          <w:szCs w:val="26"/>
        </w:rPr>
      </w:pPr>
    </w:p>
    <w:p w:rsidR="002565BB" w:rsidRPr="00B4649C" w:rsidRDefault="002565BB" w:rsidP="00661172">
      <w:pPr>
        <w:rPr>
          <w:b/>
          <w:sz w:val="26"/>
          <w:szCs w:val="26"/>
        </w:rPr>
      </w:pPr>
    </w:p>
    <w:p w:rsidR="00272FE0" w:rsidRPr="00B4649C" w:rsidRDefault="00272FE0" w:rsidP="00661172">
      <w:pPr>
        <w:rPr>
          <w:b/>
          <w:sz w:val="26"/>
          <w:szCs w:val="26"/>
        </w:rPr>
      </w:pPr>
    </w:p>
    <w:p w:rsidR="00272FE0" w:rsidRPr="00B4649C" w:rsidRDefault="00272FE0" w:rsidP="00661172">
      <w:pPr>
        <w:rPr>
          <w:b/>
          <w:sz w:val="26"/>
          <w:szCs w:val="26"/>
        </w:rPr>
      </w:pPr>
    </w:p>
    <w:p w:rsidR="00067D39" w:rsidRPr="00B4649C" w:rsidRDefault="00067D39" w:rsidP="00661172">
      <w:pPr>
        <w:jc w:val="center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>Assessoria Jurídica</w:t>
      </w:r>
    </w:p>
    <w:p w:rsidR="00167E99" w:rsidRPr="00B4649C" w:rsidRDefault="007D7907" w:rsidP="00661172">
      <w:pPr>
        <w:jc w:val="center"/>
        <w:outlineLvl w:val="0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>André Fernandes de Castro</w:t>
      </w:r>
      <w:r w:rsidR="00170CEF" w:rsidRPr="00B4649C">
        <w:rPr>
          <w:b/>
          <w:sz w:val="26"/>
          <w:szCs w:val="26"/>
        </w:rPr>
        <w:t xml:space="preserve"> </w:t>
      </w:r>
    </w:p>
    <w:p w:rsidR="009B09B5" w:rsidRPr="00B4649C" w:rsidRDefault="009B09B5" w:rsidP="00661172">
      <w:pPr>
        <w:jc w:val="center"/>
        <w:rPr>
          <w:b/>
          <w:sz w:val="26"/>
          <w:szCs w:val="26"/>
        </w:rPr>
      </w:pPr>
      <w:r w:rsidRPr="00B4649C">
        <w:rPr>
          <w:b/>
          <w:sz w:val="26"/>
          <w:szCs w:val="26"/>
        </w:rPr>
        <w:t xml:space="preserve">OAB-MG </w:t>
      </w:r>
      <w:r w:rsidR="007D7907" w:rsidRPr="00B4649C">
        <w:rPr>
          <w:b/>
          <w:sz w:val="26"/>
          <w:szCs w:val="26"/>
        </w:rPr>
        <w:t>96.637</w:t>
      </w:r>
    </w:p>
    <w:p w:rsidR="00DA0CBD" w:rsidRPr="00B4649C" w:rsidRDefault="00DA0CBD" w:rsidP="00661172">
      <w:pPr>
        <w:jc w:val="center"/>
        <w:rPr>
          <w:b/>
        </w:rPr>
      </w:pPr>
    </w:p>
    <w:p w:rsidR="00B4649C" w:rsidRPr="00B4649C" w:rsidRDefault="00B4649C" w:rsidP="00661172">
      <w:pPr>
        <w:jc w:val="center"/>
        <w:rPr>
          <w:b/>
        </w:rPr>
      </w:pPr>
    </w:p>
    <w:p w:rsidR="00B4649C" w:rsidRPr="00B4649C" w:rsidRDefault="00B4649C" w:rsidP="00661172">
      <w:pPr>
        <w:jc w:val="center"/>
        <w:rPr>
          <w:b/>
        </w:rPr>
      </w:pPr>
    </w:p>
    <w:p w:rsidR="00B4649C" w:rsidRPr="00B4649C" w:rsidRDefault="00B4649C" w:rsidP="00661172">
      <w:pPr>
        <w:jc w:val="center"/>
        <w:rPr>
          <w:b/>
        </w:rPr>
      </w:pPr>
    </w:p>
    <w:p w:rsidR="00B4649C" w:rsidRPr="00B4649C" w:rsidRDefault="00B4649C" w:rsidP="00661172">
      <w:pPr>
        <w:jc w:val="center"/>
        <w:rPr>
          <w:b/>
        </w:rPr>
      </w:pPr>
    </w:p>
    <w:p w:rsidR="00B4649C" w:rsidRPr="00B4649C" w:rsidRDefault="00B4649C" w:rsidP="00661172">
      <w:pPr>
        <w:jc w:val="center"/>
        <w:rPr>
          <w:b/>
        </w:rPr>
      </w:pPr>
    </w:p>
    <w:p w:rsidR="00B4649C" w:rsidRPr="00B4649C" w:rsidRDefault="00B4649C" w:rsidP="00661172">
      <w:pPr>
        <w:jc w:val="center"/>
        <w:rPr>
          <w:b/>
        </w:rPr>
      </w:pPr>
    </w:p>
    <w:p w:rsidR="00B4649C" w:rsidRPr="00B4649C" w:rsidRDefault="00B4649C" w:rsidP="00661172">
      <w:pPr>
        <w:jc w:val="center"/>
        <w:rPr>
          <w:b/>
        </w:rPr>
      </w:pPr>
    </w:p>
    <w:p w:rsidR="00B4649C" w:rsidRPr="00B4649C" w:rsidRDefault="00B4649C" w:rsidP="00661172">
      <w:pPr>
        <w:jc w:val="center"/>
        <w:rPr>
          <w:b/>
        </w:rPr>
      </w:pPr>
    </w:p>
    <w:p w:rsidR="00B4649C" w:rsidRPr="00B4649C" w:rsidRDefault="00B4649C" w:rsidP="00661172">
      <w:pPr>
        <w:jc w:val="center"/>
        <w:rPr>
          <w:b/>
        </w:rPr>
      </w:pPr>
    </w:p>
    <w:p w:rsidR="00B4649C" w:rsidRPr="00B4649C" w:rsidRDefault="00B4649C" w:rsidP="00661172">
      <w:pPr>
        <w:jc w:val="center"/>
        <w:rPr>
          <w:b/>
        </w:rPr>
      </w:pPr>
    </w:p>
    <w:p w:rsidR="00B4649C" w:rsidRPr="00B4649C" w:rsidRDefault="00B4649C" w:rsidP="00661172">
      <w:pPr>
        <w:jc w:val="center"/>
        <w:rPr>
          <w:b/>
        </w:rPr>
      </w:pPr>
    </w:p>
    <w:p w:rsidR="00B4649C" w:rsidRDefault="00B4649C" w:rsidP="00661172">
      <w:pPr>
        <w:jc w:val="center"/>
        <w:rPr>
          <w:b/>
          <w:sz w:val="26"/>
          <w:szCs w:val="26"/>
        </w:rPr>
      </w:pPr>
    </w:p>
    <w:p w:rsidR="00B4649C" w:rsidRPr="00563BEC" w:rsidRDefault="00B4649C" w:rsidP="00661172">
      <w:pPr>
        <w:jc w:val="center"/>
        <w:rPr>
          <w:b/>
          <w:sz w:val="26"/>
          <w:szCs w:val="26"/>
        </w:rPr>
      </w:pPr>
    </w:p>
    <w:p w:rsidR="00DA0CBD" w:rsidRDefault="00DA0CBD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Default="004D3F0E" w:rsidP="00661172">
      <w:pPr>
        <w:jc w:val="center"/>
        <w:rPr>
          <w:b/>
          <w:sz w:val="26"/>
          <w:szCs w:val="26"/>
        </w:rPr>
      </w:pPr>
    </w:p>
    <w:p w:rsidR="004D3F0E" w:rsidRPr="004D3F0E" w:rsidRDefault="004D3F0E" w:rsidP="004D3F0E">
      <w:pPr>
        <w:spacing w:before="100" w:beforeAutospacing="1" w:after="100" w:afterAutospacing="1"/>
        <w:rPr>
          <w:rFonts w:eastAsia="Times New Roman"/>
        </w:rPr>
      </w:pPr>
      <w:r w:rsidRPr="004D3F0E">
        <w:rPr>
          <w:rFonts w:eastAsia="Times New Roman"/>
        </w:rPr>
        <w:t xml:space="preserve">Preliminarmente, esclarecemos que todo órgão da Administração Pública direta e indireta do poder executivo da União, Estado, Distrito Federal e Município, desde que seja conveniente, oportuno e vantajoso para a Administração, pode receber e realizar doação, instruído o processo com elementos compatíveis de acordo com as normas legais vigentes, obedecendo a Legislação Civil, de Licitações e Administrativas, inclusive com relação à competência da autoridade para aceitar a doação e firmar o </w:t>
      </w:r>
      <w:r w:rsidRPr="004D3F0E">
        <w:rPr>
          <w:rFonts w:eastAsia="Times New Roman"/>
          <w:b/>
          <w:bCs/>
        </w:rPr>
        <w:t>termo</w:t>
      </w:r>
      <w:r w:rsidRPr="004D3F0E">
        <w:rPr>
          <w:rFonts w:eastAsia="Times New Roman"/>
        </w:rPr>
        <w:t xml:space="preserve"> (no caso de</w:t>
      </w:r>
      <w:r w:rsidRPr="004D3F0E">
        <w:rPr>
          <w:rFonts w:eastAsia="Times New Roman"/>
          <w:b/>
          <w:bCs/>
        </w:rPr>
        <w:t xml:space="preserve"> bens móveis</w:t>
      </w:r>
      <w:r w:rsidRPr="004D3F0E">
        <w:rPr>
          <w:rFonts w:eastAsia="Times New Roman"/>
        </w:rPr>
        <w:t xml:space="preserve">) ou a </w:t>
      </w:r>
      <w:r w:rsidRPr="004D3F0E">
        <w:rPr>
          <w:rFonts w:eastAsia="Times New Roman"/>
          <w:b/>
          <w:bCs/>
        </w:rPr>
        <w:t>escritura pública</w:t>
      </w:r>
      <w:r w:rsidRPr="004D3F0E">
        <w:rPr>
          <w:rFonts w:eastAsia="Times New Roman"/>
        </w:rPr>
        <w:t xml:space="preserve"> (no caso de bens imóveis).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>A Administração Pública (União, Estado e Município) pode realizar a</w:t>
      </w:r>
      <w:r w:rsidRPr="004D3F0E">
        <w:rPr>
          <w:rFonts w:eastAsia="Times New Roman"/>
          <w:b/>
          <w:bCs/>
        </w:rPr>
        <w:t xml:space="preserve"> doação de imóvel</w:t>
      </w:r>
      <w:r w:rsidRPr="004D3F0E">
        <w:rPr>
          <w:rFonts w:eastAsia="Times New Roman"/>
        </w:rPr>
        <w:t xml:space="preserve">, porém, mediante </w:t>
      </w:r>
      <w:r w:rsidRPr="004D3F0E">
        <w:rPr>
          <w:rFonts w:eastAsia="Times New Roman"/>
          <w:b/>
          <w:bCs/>
        </w:rPr>
        <w:t>Lei Autorizativa</w:t>
      </w:r>
      <w:r w:rsidRPr="004D3F0E">
        <w:rPr>
          <w:rFonts w:eastAsia="Times New Roman"/>
        </w:rPr>
        <w:t xml:space="preserve"> e com possibilidade de reversão do bem para a Administração Pública no caso de descumprimento da finalidade do imóvel. É admissível que o doador imponha certas determinações ao donatário como condição da efetivação da doação.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A doação de bens públicos </w:t>
      </w:r>
      <w:r w:rsidRPr="004D3F0E">
        <w:rPr>
          <w:rFonts w:eastAsia="Times New Roman"/>
          <w:b/>
          <w:bCs/>
        </w:rPr>
        <w:t>imóveis</w:t>
      </w:r>
      <w:r w:rsidRPr="004D3F0E">
        <w:rPr>
          <w:rFonts w:eastAsia="Times New Roman"/>
        </w:rPr>
        <w:t xml:space="preserve"> é regulada pelo Art. 17 da Lei 8666/1993, que a permite se cumpridas algumas formalidades: interesse público devidamente justificado, avaliação do imóvel, autorização legislativa, licitação na modalidade concorrência e doação modal (com encargos ou obrigações) e condicional resolutiva (com cláusula de reversão).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>A avaliação do</w:t>
      </w:r>
      <w:r w:rsidRPr="004D3F0E">
        <w:rPr>
          <w:rFonts w:eastAsia="Times New Roman"/>
          <w:b/>
          <w:bCs/>
        </w:rPr>
        <w:t xml:space="preserve"> imóvel</w:t>
      </w:r>
      <w:r w:rsidRPr="004D3F0E">
        <w:rPr>
          <w:rFonts w:eastAsia="Times New Roman"/>
        </w:rPr>
        <w:t xml:space="preserve"> deverá ser feita por comissão especialmente nomeada para a tarefa, a qual procederá à perfeita identificação do bem e estabelecerá o valor do mesmo, com base em pesquisas de mercado.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É importante dizer que o setor de contabilidade deverá ser informado a respeito do preço estimado pela comissão de avaliação, pois a doação causará alterações nos registros contábeis e no balanço patrimonial. </w:t>
      </w:r>
    </w:p>
    <w:p w:rsidR="004D3F0E" w:rsidRPr="004D3F0E" w:rsidRDefault="004D3F0E" w:rsidP="004D3F0E">
      <w:pPr>
        <w:spacing w:before="100" w:beforeAutospacing="1" w:after="100" w:afterAutospacing="1"/>
        <w:rPr>
          <w:rFonts w:eastAsia="Times New Roman"/>
        </w:rPr>
      </w:pPr>
      <w:r w:rsidRPr="004D3F0E">
        <w:rPr>
          <w:rFonts w:eastAsia="Times New Roman"/>
        </w:rPr>
        <w:t> </w:t>
      </w:r>
    </w:p>
    <w:p w:rsidR="004D3F0E" w:rsidRPr="004D3F0E" w:rsidRDefault="004D3F0E" w:rsidP="004D3F0E">
      <w:pPr>
        <w:spacing w:before="100" w:beforeAutospacing="1" w:after="100" w:afterAutospacing="1"/>
        <w:rPr>
          <w:rFonts w:eastAsia="Times New Roman"/>
        </w:rPr>
      </w:pPr>
      <w:r w:rsidRPr="004D3F0E">
        <w:rPr>
          <w:rFonts w:eastAsia="Times New Roman"/>
        </w:rPr>
        <w:lastRenderedPageBreak/>
        <w:t xml:space="preserve">Entendemos que a doação de </w:t>
      </w:r>
      <w:r w:rsidRPr="004D3F0E">
        <w:rPr>
          <w:rFonts w:eastAsia="Times New Roman"/>
          <w:b/>
          <w:bCs/>
        </w:rPr>
        <w:t>imóvel</w:t>
      </w:r>
      <w:r w:rsidRPr="004D3F0E">
        <w:rPr>
          <w:rFonts w:eastAsia="Times New Roman"/>
        </w:rPr>
        <w:t xml:space="preserve"> pela Administração Pública deverá ser necessariamente cercada das cautelas e restrições que os contratos com entes públicos sempre precisam envolver.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</w:r>
      <w:r w:rsidRPr="004D3F0E">
        <w:rPr>
          <w:rFonts w:eastAsia="Times New Roman"/>
          <w:b/>
          <w:bCs/>
        </w:rPr>
        <w:t xml:space="preserve">A Administração pode fazer doações de bens móveis e imóveis desafetados do uso público, e comumente o faz para incentivar construções e atividades particulares de interesse coletivo. </w:t>
      </w:r>
      <w:r w:rsidRPr="004D3F0E">
        <w:rPr>
          <w:rFonts w:eastAsia="Times New Roman"/>
        </w:rPr>
        <w:t xml:space="preserve">“Essas doações podem ser com ou sem encargos e em qualquer caso dependem </w:t>
      </w:r>
      <w:r w:rsidRPr="004D3F0E">
        <w:rPr>
          <w:rFonts w:eastAsia="Times New Roman"/>
          <w:b/>
          <w:bCs/>
        </w:rPr>
        <w:t>de lei autorizadora</w:t>
      </w:r>
      <w:r w:rsidRPr="004D3F0E">
        <w:rPr>
          <w:rFonts w:eastAsia="Times New Roman"/>
        </w:rPr>
        <w:t>, que estabeleça as condições para sua efetivação, de prévia avaliação do bem a ser doado e de licitação.” (</w:t>
      </w:r>
      <w:r w:rsidRPr="004D3F0E">
        <w:rPr>
          <w:rFonts w:eastAsia="Times New Roman"/>
          <w:b/>
          <w:bCs/>
        </w:rPr>
        <w:t>Grifo nosso</w:t>
      </w:r>
      <w:r w:rsidRPr="004D3F0E">
        <w:rPr>
          <w:rFonts w:eastAsia="Times New Roman"/>
        </w:rPr>
        <w:t xml:space="preserve">) (Direito Administrativo Brasileiro, 29º Edição, 2004, p. 512).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Cumpre-nos colacionar os ensinamentos do ilustre doutrinador </w:t>
      </w:r>
      <w:r w:rsidRPr="004D3F0E">
        <w:rPr>
          <w:rFonts w:eastAsia="Times New Roman"/>
          <w:b/>
          <w:bCs/>
        </w:rPr>
        <w:t>Marçal Justen Filho</w:t>
      </w:r>
      <w:r w:rsidRPr="004D3F0E">
        <w:rPr>
          <w:rFonts w:eastAsia="Times New Roman"/>
        </w:rPr>
        <w:t xml:space="preserve">: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</w:r>
      <w:r w:rsidRPr="004D3F0E">
        <w:rPr>
          <w:rFonts w:eastAsia="Times New Roman"/>
          <w:i/>
          <w:iCs/>
        </w:rPr>
        <w:t>“Ressalva-se a hipótese de doação de bem público, gravada com encargo. Assim, por exemplo, poderá ser do interesse estatal a construção de um certo edifício em determinada área. Poderá surgir como solução promover uma doação de imóvel com encargo para o donatário promover a edificação. Essa é uma hipótese em que a doação deverá ser antecedida de licitação, sob pena de infringência do princípio da isonomia. Em outras hipóteses, porém, o encargo assumirá relevância de outra natureza. A</w:t>
      </w:r>
      <w:r w:rsidRPr="004D3F0E">
        <w:rPr>
          <w:rFonts w:eastAsia="Times New Roman"/>
          <w:b/>
          <w:bCs/>
          <w:i/>
          <w:iCs/>
        </w:rPr>
        <w:t xml:space="preserve"> doação poderá ter em vista a situação do donatário ou sua atividade de interesse social. Nesse caso, não caberá a licitação. Assim, por exemplo, uma entidade assistencial poderá receber doação de bens gravada com determinados encargos.</w:t>
      </w:r>
      <w:r w:rsidRPr="004D3F0E">
        <w:rPr>
          <w:rFonts w:eastAsia="Times New Roman"/>
          <w:i/>
          <w:iCs/>
        </w:rPr>
        <w:t xml:space="preserve"> (...) O instrumento de doação deverá definir o encargo, o prazo de seu cumprimento e a cláusula de reversão para o patrimônio público do bem doado em caso de descumprimento. A regra aplica-se tanto aos casos de dispensa de licitação como aqueles em que a licitação ocorrer.”</w:t>
      </w:r>
      <w:r w:rsidRPr="004D3F0E">
        <w:rPr>
          <w:rFonts w:eastAsia="Times New Roman"/>
        </w:rPr>
        <w:t xml:space="preserve"> (</w:t>
      </w:r>
      <w:r w:rsidRPr="004D3F0E">
        <w:rPr>
          <w:rFonts w:eastAsia="Times New Roman"/>
          <w:b/>
          <w:bCs/>
        </w:rPr>
        <w:t>Grifo nosso</w:t>
      </w:r>
      <w:r w:rsidRPr="004D3F0E">
        <w:rPr>
          <w:rFonts w:eastAsia="Times New Roman"/>
        </w:rPr>
        <w:t xml:space="preserve">) (Comentários à Lei de Licitações e Contratos Administrativos. Editora Dialética. 9ª Edição. 2002. p. 185)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A Lei restringe a dispensa de licitação para a doação a casos de interesse social. Qualquer doação de bem público pressupõe interesse público, a regra legal impõe à Administração que verifique se a doação consiste na melhor opção.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Utiliza-se a doação de bens públicos sempre que o interesse público puder indicar ser essa a modalidade de transferência da propriedade mais vantajosa que alguma outra, o que muitas vezes se torna dificultoso, mas não deixa de ser frequente, como no caso de doação de lotes públicos a particulares, pessoas físicas ou jurídicas, em distritos industriais, com encargos de edificação e funcionamento de indústrias, mesmo que tributariamente incentivados, tudo visando oferecer empregos à população local, desenvolvimento da atividade econômica e, ao longo do tempo, propiciar aumento da arrecadação tributária.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</w:r>
      <w:r w:rsidRPr="004D3F0E">
        <w:rPr>
          <w:rFonts w:eastAsia="Times New Roman"/>
          <w:b/>
          <w:bCs/>
        </w:rPr>
        <w:t xml:space="preserve">É regra pacificamente adotada a de que não pode haver doação de imóveis públicos sem a previsão de encargos de interesse público a serem cumpridos pelo donatário com prazo determinado em lei, sob pena de reversão ou retrocessão do bem ao poder público. </w:t>
      </w:r>
      <w:r w:rsidRPr="004D3F0E">
        <w:rPr>
          <w:rFonts w:eastAsia="Times New Roman"/>
          <w:b/>
          <w:bCs/>
        </w:rPr>
        <w:br/>
      </w:r>
      <w:r w:rsidRPr="004D3F0E">
        <w:rPr>
          <w:rFonts w:eastAsia="Times New Roman"/>
          <w:b/>
          <w:bCs/>
        </w:rPr>
        <w:br/>
      </w:r>
      <w:r w:rsidRPr="004D3F0E">
        <w:rPr>
          <w:rFonts w:eastAsia="Times New Roman"/>
        </w:rPr>
        <w:t xml:space="preserve">Faz-se salutar esclarecermos que a doação pura e simples somente pode ocorrer quando o donatário for outro órgão ou entidade da Administração (Art. 17, I, b, Lei nº. 8666/93).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lastRenderedPageBreak/>
        <w:t xml:space="preserve">Conforme preceituam os incisos: VII e VIII do Art. 14 da Lei Complementar n° 111 de 1º de julho de 2002, </w:t>
      </w:r>
      <w:r w:rsidRPr="004D3F0E">
        <w:rPr>
          <w:rFonts w:eastAsia="Times New Roman"/>
          <w:b/>
          <w:bCs/>
        </w:rPr>
        <w:t xml:space="preserve">que dispõe sobre a competência, a organização e a estrutura da Procuradoria-Geral do Estado de Mato Grosso, são atribuições da Subprocuradoria-Geral Administrativa: </w:t>
      </w:r>
      <w:r w:rsidRPr="004D3F0E">
        <w:rPr>
          <w:rFonts w:eastAsia="Times New Roman"/>
          <w:b/>
          <w:bCs/>
        </w:rPr>
        <w:br/>
      </w:r>
      <w:r w:rsidRPr="004D3F0E">
        <w:rPr>
          <w:rFonts w:eastAsia="Times New Roman"/>
        </w:rPr>
        <w:br/>
        <w:t xml:space="preserve">“VII - emitir parecer definitivo em todos e quaisquer processos administrativos que versem sobre matéria ou patrimônio imobiliário do Estado;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VIII - minutar escrituras referentes a bens imóveis e promover os registros imobiliários em matéria de sua competência;”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No tocante à </w:t>
      </w:r>
      <w:r w:rsidRPr="004D3F0E">
        <w:rPr>
          <w:rFonts w:eastAsia="Times New Roman"/>
          <w:b/>
          <w:bCs/>
        </w:rPr>
        <w:t>doação de bens móveis,</w:t>
      </w:r>
      <w:r w:rsidRPr="004D3F0E">
        <w:rPr>
          <w:rFonts w:eastAsia="Times New Roman"/>
        </w:rPr>
        <w:t xml:space="preserve"> é importante ressaltar o que está definido no Art. 17 da Lei Federal nº. 8.666, de 21 de junho de 1993, e alterações posteriores, nos seguintes termos: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“Art. 17. A alienação de bens da Administração Pública, subordinada à existência de interesse público devidamente justificado, será precedida de avaliação e obedecerá às seguintes normas: </w:t>
      </w:r>
      <w:r w:rsidRPr="004D3F0E">
        <w:rPr>
          <w:rFonts w:eastAsia="Times New Roman"/>
        </w:rPr>
        <w:br/>
        <w:t xml:space="preserve">(...) </w:t>
      </w:r>
      <w:r w:rsidRPr="004D3F0E">
        <w:rPr>
          <w:rFonts w:eastAsia="Times New Roman"/>
        </w:rPr>
        <w:br/>
        <w:t xml:space="preserve">II - quando </w:t>
      </w:r>
      <w:r w:rsidRPr="004D3F0E">
        <w:rPr>
          <w:rFonts w:eastAsia="Times New Roman"/>
          <w:b/>
          <w:bCs/>
        </w:rPr>
        <w:t>móveis</w:t>
      </w:r>
      <w:r w:rsidRPr="004D3F0E">
        <w:rPr>
          <w:rFonts w:eastAsia="Times New Roman"/>
        </w:rPr>
        <w:t xml:space="preserve">, dependerá de avaliação prévia e de licitação, dispensada esta nos seguintes casos: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a) </w:t>
      </w:r>
      <w:r w:rsidRPr="004D3F0E">
        <w:rPr>
          <w:rFonts w:eastAsia="Times New Roman"/>
          <w:b/>
          <w:bCs/>
        </w:rPr>
        <w:t>doação</w:t>
      </w:r>
      <w:r w:rsidRPr="004D3F0E">
        <w:rPr>
          <w:rFonts w:eastAsia="Times New Roman"/>
        </w:rPr>
        <w:t xml:space="preserve">, permitida exclusivamente para fins e uso de interesse social, após avaliação de sua oportunidade e conveniência socioeconômica, relativamente à escolha de outra forma de alienação;”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O Art. 3º da Lei Estadual nº 9.347, de 27/04/2010, que alterou o Art. 5º da Lei Estadual nº 8.039 de 22/12/2003, estabelece que a </w:t>
      </w:r>
      <w:r w:rsidRPr="004D3F0E">
        <w:rPr>
          <w:rFonts w:eastAsia="Times New Roman"/>
          <w:b/>
          <w:bCs/>
        </w:rPr>
        <w:t>doação de bens</w:t>
      </w:r>
      <w:r w:rsidRPr="004D3F0E">
        <w:rPr>
          <w:rFonts w:eastAsia="Times New Roman"/>
        </w:rPr>
        <w:t xml:space="preserve"> inservíveis para os municípios, autarquias, fundações, empresas públicas, sociedades de economia mista, consórcios públicos e entidades sem fins lucrativos de assistência social, saúde ou educação, será feita </w:t>
      </w:r>
      <w:r w:rsidRPr="004D3F0E">
        <w:rPr>
          <w:rFonts w:eastAsia="Times New Roman"/>
          <w:b/>
          <w:bCs/>
        </w:rPr>
        <w:t>por termo próprio</w:t>
      </w:r>
      <w:r w:rsidRPr="004D3F0E">
        <w:rPr>
          <w:rFonts w:eastAsia="Times New Roman"/>
        </w:rPr>
        <w:t xml:space="preserve">.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De acordo com o Art. 5º da Lei Estadual nº 8.039 de 22/12/2003, combinado com o Art. 3º da Lei Estadual nº 9.347, de 27/04/2010, no </w:t>
      </w:r>
      <w:r w:rsidRPr="004D3F0E">
        <w:rPr>
          <w:rFonts w:eastAsia="Times New Roman"/>
          <w:b/>
          <w:bCs/>
        </w:rPr>
        <w:t>Termo Próprio deverão constar os seguintes requisitos</w:t>
      </w:r>
      <w:r w:rsidRPr="004D3F0E">
        <w:rPr>
          <w:rFonts w:eastAsia="Times New Roman"/>
        </w:rPr>
        <w:t xml:space="preserve">: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I - descrição e avaliação do objeto da doação;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II - caracterização do interesse público específico;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III - avaliação da conveniência da doação em detrimento de outras formas de alienação;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IV - definição de eventuais obrigações da donatária em relação ao objeto da doação, sob pena de reversão;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V – proibição de alienação do objeto da doação pelo donatário a terceiros no prazo de 02 (dois) anos;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lastRenderedPageBreak/>
        <w:br/>
        <w:t>VI – prazo para publicação de extrato do Termo, como condição de eficácia.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Ressaltamos que o </w:t>
      </w:r>
      <w:r w:rsidRPr="004D3F0E">
        <w:rPr>
          <w:rFonts w:eastAsia="Times New Roman"/>
          <w:b/>
          <w:bCs/>
        </w:rPr>
        <w:t>Termo Próprio</w:t>
      </w:r>
      <w:r w:rsidRPr="004D3F0E">
        <w:rPr>
          <w:rFonts w:eastAsia="Times New Roman"/>
        </w:rPr>
        <w:t xml:space="preserve"> acima citado será fundamental, também, para a realização das baixas contábeis e patrimoniais dos bens no </w:t>
      </w:r>
      <w:r w:rsidRPr="004D3F0E">
        <w:rPr>
          <w:rFonts w:eastAsia="Times New Roman"/>
          <w:b/>
          <w:bCs/>
        </w:rPr>
        <w:t>órgão doador</w:t>
      </w:r>
      <w:r w:rsidRPr="004D3F0E">
        <w:rPr>
          <w:rFonts w:eastAsia="Times New Roman"/>
        </w:rPr>
        <w:t xml:space="preserve"> e as incorporações contábeis e patrimoniais nos registros do </w:t>
      </w:r>
      <w:r w:rsidRPr="004D3F0E">
        <w:rPr>
          <w:rFonts w:eastAsia="Times New Roman"/>
          <w:b/>
          <w:bCs/>
        </w:rPr>
        <w:t>órgão donatário</w:t>
      </w:r>
      <w:r w:rsidRPr="004D3F0E">
        <w:rPr>
          <w:rFonts w:eastAsia="Times New Roman"/>
        </w:rPr>
        <w:t xml:space="preserve">. </w:t>
      </w:r>
      <w:r w:rsidRPr="004D3F0E">
        <w:rPr>
          <w:rFonts w:eastAsia="Times New Roman"/>
        </w:rPr>
        <w:br/>
      </w:r>
      <w:r w:rsidRPr="004D3F0E">
        <w:rPr>
          <w:rFonts w:eastAsia="Times New Roman"/>
        </w:rPr>
        <w:br/>
        <w:t xml:space="preserve">Enfatizamos, ainda, que ocorrendo casos de </w:t>
      </w:r>
      <w:r w:rsidRPr="004D3F0E">
        <w:rPr>
          <w:rFonts w:eastAsia="Times New Roman"/>
          <w:b/>
          <w:bCs/>
        </w:rPr>
        <w:t>doações de bens móveis ou imóveis</w:t>
      </w:r>
      <w:r w:rsidRPr="004D3F0E">
        <w:rPr>
          <w:rFonts w:eastAsia="Times New Roman"/>
        </w:rPr>
        <w:t xml:space="preserve"> por empresas públicas ou sociedades de economia mista é importante salientar que as </w:t>
      </w:r>
      <w:r w:rsidRPr="004D3F0E">
        <w:rPr>
          <w:rFonts w:eastAsia="Times New Roman"/>
          <w:b/>
          <w:bCs/>
        </w:rPr>
        <w:t xml:space="preserve">doações sejam, também, submetidas à apreciação dos Conselhos Administrativos ou Deliberativos, conforme o caso, visando atender os dispostos nos estatutos das mesmas. </w:t>
      </w:r>
      <w:r w:rsidRPr="004D3F0E">
        <w:rPr>
          <w:rFonts w:eastAsia="Times New Roman"/>
          <w:b/>
          <w:bCs/>
        </w:rPr>
        <w:br/>
      </w:r>
      <w:r w:rsidRPr="004D3F0E">
        <w:rPr>
          <w:rFonts w:eastAsia="Times New Roman"/>
        </w:rPr>
        <w:br/>
      </w:r>
      <w:r w:rsidRPr="004D3F0E">
        <w:rPr>
          <w:rFonts w:eastAsia="Times New Roman"/>
          <w:b/>
          <w:bCs/>
          <w:i/>
          <w:iCs/>
        </w:rPr>
        <w:t>* Davi Ferreira Botelho é auditor do Estado de Mato Grosso, lotado na Superintendência de Auditoria em Contabilidade, Financeiro e Patrimônio. E-mail: daviferreirabotelho@auditoria.mt.gov.br</w:t>
      </w:r>
      <w:r w:rsidRPr="004D3F0E">
        <w:rPr>
          <w:rFonts w:eastAsia="Times New Roman"/>
        </w:rPr>
        <w:t> </w:t>
      </w:r>
      <w:r w:rsidRPr="004D3F0E">
        <w:rPr>
          <w:rFonts w:eastAsia="Times New Roman"/>
        </w:rPr>
        <w:br/>
        <w:t> </w:t>
      </w:r>
    </w:p>
    <w:p w:rsidR="004D3F0E" w:rsidRPr="00563BEC" w:rsidRDefault="004D3F0E" w:rsidP="00661172">
      <w:pPr>
        <w:jc w:val="center"/>
        <w:rPr>
          <w:b/>
          <w:sz w:val="26"/>
          <w:szCs w:val="26"/>
        </w:rPr>
      </w:pPr>
    </w:p>
    <w:sectPr w:rsidR="004D3F0E" w:rsidRPr="00563BEC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89" w:rsidRDefault="00F47F89" w:rsidP="005953A0">
      <w:r>
        <w:separator/>
      </w:r>
    </w:p>
  </w:endnote>
  <w:endnote w:type="continuationSeparator" w:id="0">
    <w:p w:rsidR="00F47F89" w:rsidRDefault="00F47F89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3A32A6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033C">
      <w:rPr>
        <w:noProof/>
      </w:rPr>
      <w:t>1</w:t>
    </w:r>
    <w:r>
      <w:rPr>
        <w:noProof/>
      </w:rPr>
      <w:fldChar w:fldCharType="end"/>
    </w:r>
    <w:r w:rsidR="00F379BA">
      <w:t>/</w:t>
    </w:r>
    <w:r w:rsidR="009F4C2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9F4C24">
      <w:rPr>
        <w:rStyle w:val="Nmerodepgina"/>
      </w:rPr>
      <w:fldChar w:fldCharType="separate"/>
    </w:r>
    <w:r w:rsidR="004A033C">
      <w:rPr>
        <w:rStyle w:val="Nmerodepgina"/>
        <w:noProof/>
      </w:rPr>
      <w:t>9</w:t>
    </w:r>
    <w:r w:rsidR="009F4C2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89" w:rsidRDefault="00F47F89" w:rsidP="005953A0">
      <w:r>
        <w:separator/>
      </w:r>
    </w:p>
  </w:footnote>
  <w:footnote w:type="continuationSeparator" w:id="0">
    <w:p w:rsidR="00F47F89" w:rsidRDefault="00F47F89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75D2"/>
    <w:rsid w:val="000240D2"/>
    <w:rsid w:val="00026969"/>
    <w:rsid w:val="00033275"/>
    <w:rsid w:val="00033FA1"/>
    <w:rsid w:val="00035F8B"/>
    <w:rsid w:val="00040578"/>
    <w:rsid w:val="00041831"/>
    <w:rsid w:val="00042186"/>
    <w:rsid w:val="000658B3"/>
    <w:rsid w:val="00067D39"/>
    <w:rsid w:val="00072E2D"/>
    <w:rsid w:val="00075BFE"/>
    <w:rsid w:val="0009062B"/>
    <w:rsid w:val="00092469"/>
    <w:rsid w:val="000A5B57"/>
    <w:rsid w:val="000B1352"/>
    <w:rsid w:val="000B24D0"/>
    <w:rsid w:val="000B3AF0"/>
    <w:rsid w:val="000B4367"/>
    <w:rsid w:val="000C47CA"/>
    <w:rsid w:val="000C608C"/>
    <w:rsid w:val="000C7A66"/>
    <w:rsid w:val="000D153A"/>
    <w:rsid w:val="000D3B57"/>
    <w:rsid w:val="000D56C4"/>
    <w:rsid w:val="000E7EDE"/>
    <w:rsid w:val="000F04C9"/>
    <w:rsid w:val="000F29A7"/>
    <w:rsid w:val="000F5839"/>
    <w:rsid w:val="00103194"/>
    <w:rsid w:val="00116C38"/>
    <w:rsid w:val="0012290D"/>
    <w:rsid w:val="00124A46"/>
    <w:rsid w:val="0012506E"/>
    <w:rsid w:val="00126DFE"/>
    <w:rsid w:val="00127900"/>
    <w:rsid w:val="001310FE"/>
    <w:rsid w:val="001331FB"/>
    <w:rsid w:val="00135620"/>
    <w:rsid w:val="00137BA7"/>
    <w:rsid w:val="00142B2B"/>
    <w:rsid w:val="00142F30"/>
    <w:rsid w:val="00143243"/>
    <w:rsid w:val="00145807"/>
    <w:rsid w:val="00153B48"/>
    <w:rsid w:val="001557FB"/>
    <w:rsid w:val="00156179"/>
    <w:rsid w:val="00160C46"/>
    <w:rsid w:val="0016300D"/>
    <w:rsid w:val="00167E99"/>
    <w:rsid w:val="00170CEF"/>
    <w:rsid w:val="00171782"/>
    <w:rsid w:val="00177320"/>
    <w:rsid w:val="001902B1"/>
    <w:rsid w:val="00191D3E"/>
    <w:rsid w:val="00196B29"/>
    <w:rsid w:val="001A4765"/>
    <w:rsid w:val="001A7D99"/>
    <w:rsid w:val="001B027D"/>
    <w:rsid w:val="001B044A"/>
    <w:rsid w:val="001B1B1D"/>
    <w:rsid w:val="001C6A36"/>
    <w:rsid w:val="001D7735"/>
    <w:rsid w:val="001E1AD8"/>
    <w:rsid w:val="001F2F9B"/>
    <w:rsid w:val="001F357E"/>
    <w:rsid w:val="00207FC5"/>
    <w:rsid w:val="002117ED"/>
    <w:rsid w:val="00220363"/>
    <w:rsid w:val="00250415"/>
    <w:rsid w:val="0025256B"/>
    <w:rsid w:val="00252EBA"/>
    <w:rsid w:val="002565BB"/>
    <w:rsid w:val="00260C2A"/>
    <w:rsid w:val="00272FE0"/>
    <w:rsid w:val="0029307A"/>
    <w:rsid w:val="002C133B"/>
    <w:rsid w:val="002C37C9"/>
    <w:rsid w:val="002C3844"/>
    <w:rsid w:val="002D0FCC"/>
    <w:rsid w:val="002D6850"/>
    <w:rsid w:val="002E7032"/>
    <w:rsid w:val="00312DD9"/>
    <w:rsid w:val="0031600D"/>
    <w:rsid w:val="00316B1A"/>
    <w:rsid w:val="00323C8E"/>
    <w:rsid w:val="00331152"/>
    <w:rsid w:val="00334A9D"/>
    <w:rsid w:val="00347D47"/>
    <w:rsid w:val="003645FC"/>
    <w:rsid w:val="0036537E"/>
    <w:rsid w:val="00366430"/>
    <w:rsid w:val="00367AEC"/>
    <w:rsid w:val="00367B65"/>
    <w:rsid w:val="00380418"/>
    <w:rsid w:val="00390A59"/>
    <w:rsid w:val="00396851"/>
    <w:rsid w:val="00397355"/>
    <w:rsid w:val="00397C2A"/>
    <w:rsid w:val="003A32A6"/>
    <w:rsid w:val="003B410B"/>
    <w:rsid w:val="003B4934"/>
    <w:rsid w:val="003B7517"/>
    <w:rsid w:val="003C05A9"/>
    <w:rsid w:val="003C4C1F"/>
    <w:rsid w:val="003D3E4C"/>
    <w:rsid w:val="003D7C5A"/>
    <w:rsid w:val="003E3B9F"/>
    <w:rsid w:val="003E4724"/>
    <w:rsid w:val="003F5B6D"/>
    <w:rsid w:val="0040760B"/>
    <w:rsid w:val="004154D6"/>
    <w:rsid w:val="00416434"/>
    <w:rsid w:val="0042642C"/>
    <w:rsid w:val="00446FF5"/>
    <w:rsid w:val="00453859"/>
    <w:rsid w:val="0045545F"/>
    <w:rsid w:val="004628DE"/>
    <w:rsid w:val="00467542"/>
    <w:rsid w:val="00467D7B"/>
    <w:rsid w:val="00481434"/>
    <w:rsid w:val="00481C3C"/>
    <w:rsid w:val="00482EBA"/>
    <w:rsid w:val="00483475"/>
    <w:rsid w:val="00495D06"/>
    <w:rsid w:val="004A033C"/>
    <w:rsid w:val="004A5770"/>
    <w:rsid w:val="004B1958"/>
    <w:rsid w:val="004B62E1"/>
    <w:rsid w:val="004C074D"/>
    <w:rsid w:val="004C7BE6"/>
    <w:rsid w:val="004D29D5"/>
    <w:rsid w:val="004D3AFD"/>
    <w:rsid w:val="004D3F0E"/>
    <w:rsid w:val="004D4DAE"/>
    <w:rsid w:val="004E7915"/>
    <w:rsid w:val="004F2481"/>
    <w:rsid w:val="004F589E"/>
    <w:rsid w:val="00502B4E"/>
    <w:rsid w:val="00505D36"/>
    <w:rsid w:val="00511867"/>
    <w:rsid w:val="00517CB7"/>
    <w:rsid w:val="00532161"/>
    <w:rsid w:val="00540B48"/>
    <w:rsid w:val="00563BEC"/>
    <w:rsid w:val="00563C5D"/>
    <w:rsid w:val="00563EB9"/>
    <w:rsid w:val="005825FC"/>
    <w:rsid w:val="005858CF"/>
    <w:rsid w:val="005904CB"/>
    <w:rsid w:val="005953A0"/>
    <w:rsid w:val="00597E35"/>
    <w:rsid w:val="005A31AD"/>
    <w:rsid w:val="005A6025"/>
    <w:rsid w:val="005A7ABD"/>
    <w:rsid w:val="005B16EF"/>
    <w:rsid w:val="005B1A23"/>
    <w:rsid w:val="005C1E8F"/>
    <w:rsid w:val="005D5DD9"/>
    <w:rsid w:val="005D6980"/>
    <w:rsid w:val="005D6E4A"/>
    <w:rsid w:val="005E3923"/>
    <w:rsid w:val="005E5764"/>
    <w:rsid w:val="005F4739"/>
    <w:rsid w:val="005F6F2D"/>
    <w:rsid w:val="00640033"/>
    <w:rsid w:val="00641CB7"/>
    <w:rsid w:val="006441C3"/>
    <w:rsid w:val="006506E0"/>
    <w:rsid w:val="00657605"/>
    <w:rsid w:val="00661172"/>
    <w:rsid w:val="00684E6E"/>
    <w:rsid w:val="006943C2"/>
    <w:rsid w:val="006A35FF"/>
    <w:rsid w:val="006A6481"/>
    <w:rsid w:val="006B38C1"/>
    <w:rsid w:val="006B3949"/>
    <w:rsid w:val="006B3AD8"/>
    <w:rsid w:val="006B4B47"/>
    <w:rsid w:val="006B6787"/>
    <w:rsid w:val="006C7ECE"/>
    <w:rsid w:val="006E0F19"/>
    <w:rsid w:val="006E6096"/>
    <w:rsid w:val="006F1F34"/>
    <w:rsid w:val="00701D7D"/>
    <w:rsid w:val="00702463"/>
    <w:rsid w:val="00702C52"/>
    <w:rsid w:val="007035B4"/>
    <w:rsid w:val="007049C3"/>
    <w:rsid w:val="0071591C"/>
    <w:rsid w:val="007208E9"/>
    <w:rsid w:val="0073254E"/>
    <w:rsid w:val="007408D8"/>
    <w:rsid w:val="00741AB4"/>
    <w:rsid w:val="00741EFD"/>
    <w:rsid w:val="007472E4"/>
    <w:rsid w:val="00747F72"/>
    <w:rsid w:val="007506B6"/>
    <w:rsid w:val="007629DC"/>
    <w:rsid w:val="00767566"/>
    <w:rsid w:val="00770DD2"/>
    <w:rsid w:val="00775E31"/>
    <w:rsid w:val="0078309F"/>
    <w:rsid w:val="007839AD"/>
    <w:rsid w:val="007857BE"/>
    <w:rsid w:val="00785BDC"/>
    <w:rsid w:val="00794E25"/>
    <w:rsid w:val="00795072"/>
    <w:rsid w:val="007A1B4E"/>
    <w:rsid w:val="007A2CFD"/>
    <w:rsid w:val="007B6591"/>
    <w:rsid w:val="007B7A84"/>
    <w:rsid w:val="007D2622"/>
    <w:rsid w:val="007D2753"/>
    <w:rsid w:val="007D7907"/>
    <w:rsid w:val="007E7AF0"/>
    <w:rsid w:val="00802806"/>
    <w:rsid w:val="008146EC"/>
    <w:rsid w:val="008149B3"/>
    <w:rsid w:val="008309A8"/>
    <w:rsid w:val="00843EEE"/>
    <w:rsid w:val="00845663"/>
    <w:rsid w:val="00846A3E"/>
    <w:rsid w:val="00852E2D"/>
    <w:rsid w:val="00865B49"/>
    <w:rsid w:val="00870348"/>
    <w:rsid w:val="00871179"/>
    <w:rsid w:val="00871F47"/>
    <w:rsid w:val="00872135"/>
    <w:rsid w:val="008807E8"/>
    <w:rsid w:val="00896C18"/>
    <w:rsid w:val="0089756B"/>
    <w:rsid w:val="008B4848"/>
    <w:rsid w:val="008C4FD5"/>
    <w:rsid w:val="008D4258"/>
    <w:rsid w:val="008D7FCB"/>
    <w:rsid w:val="008E7108"/>
    <w:rsid w:val="00907A3D"/>
    <w:rsid w:val="00907CF6"/>
    <w:rsid w:val="009105CD"/>
    <w:rsid w:val="00916120"/>
    <w:rsid w:val="009216DF"/>
    <w:rsid w:val="009256B4"/>
    <w:rsid w:val="009324F9"/>
    <w:rsid w:val="009347D4"/>
    <w:rsid w:val="00935BAC"/>
    <w:rsid w:val="009635C8"/>
    <w:rsid w:val="00971852"/>
    <w:rsid w:val="009776DA"/>
    <w:rsid w:val="009817CC"/>
    <w:rsid w:val="00990391"/>
    <w:rsid w:val="0099229D"/>
    <w:rsid w:val="00993F7B"/>
    <w:rsid w:val="009B09B5"/>
    <w:rsid w:val="009B0ED1"/>
    <w:rsid w:val="009D1F80"/>
    <w:rsid w:val="009D2CDE"/>
    <w:rsid w:val="009E3D80"/>
    <w:rsid w:val="009E66C4"/>
    <w:rsid w:val="009F4C24"/>
    <w:rsid w:val="00A02311"/>
    <w:rsid w:val="00A05A56"/>
    <w:rsid w:val="00A10D0F"/>
    <w:rsid w:val="00A10DB5"/>
    <w:rsid w:val="00A110BD"/>
    <w:rsid w:val="00A13F6E"/>
    <w:rsid w:val="00A15CF4"/>
    <w:rsid w:val="00A16218"/>
    <w:rsid w:val="00A1655F"/>
    <w:rsid w:val="00A2048A"/>
    <w:rsid w:val="00A2072B"/>
    <w:rsid w:val="00A554CE"/>
    <w:rsid w:val="00A61236"/>
    <w:rsid w:val="00A63247"/>
    <w:rsid w:val="00A66D40"/>
    <w:rsid w:val="00A7549A"/>
    <w:rsid w:val="00A77D67"/>
    <w:rsid w:val="00A80411"/>
    <w:rsid w:val="00A85D07"/>
    <w:rsid w:val="00A877FD"/>
    <w:rsid w:val="00A9485E"/>
    <w:rsid w:val="00AB53AF"/>
    <w:rsid w:val="00AB6E0F"/>
    <w:rsid w:val="00AB7E44"/>
    <w:rsid w:val="00AC292A"/>
    <w:rsid w:val="00AC5A73"/>
    <w:rsid w:val="00AD1572"/>
    <w:rsid w:val="00AE0AFF"/>
    <w:rsid w:val="00AE3007"/>
    <w:rsid w:val="00AE4EE3"/>
    <w:rsid w:val="00AF3D49"/>
    <w:rsid w:val="00AF45C2"/>
    <w:rsid w:val="00B16005"/>
    <w:rsid w:val="00B202E5"/>
    <w:rsid w:val="00B206CB"/>
    <w:rsid w:val="00B23387"/>
    <w:rsid w:val="00B258EB"/>
    <w:rsid w:val="00B279F6"/>
    <w:rsid w:val="00B31B65"/>
    <w:rsid w:val="00B441DA"/>
    <w:rsid w:val="00B4649C"/>
    <w:rsid w:val="00B63BBB"/>
    <w:rsid w:val="00B71C92"/>
    <w:rsid w:val="00B8199D"/>
    <w:rsid w:val="00B83582"/>
    <w:rsid w:val="00B83FE0"/>
    <w:rsid w:val="00B84570"/>
    <w:rsid w:val="00B86A5D"/>
    <w:rsid w:val="00B94DA5"/>
    <w:rsid w:val="00BA0E3F"/>
    <w:rsid w:val="00BA26A1"/>
    <w:rsid w:val="00BA66C8"/>
    <w:rsid w:val="00BB1A4F"/>
    <w:rsid w:val="00BB5B5A"/>
    <w:rsid w:val="00BD1EA0"/>
    <w:rsid w:val="00BE0EA8"/>
    <w:rsid w:val="00BE7521"/>
    <w:rsid w:val="00BF04B8"/>
    <w:rsid w:val="00C03DC3"/>
    <w:rsid w:val="00C13373"/>
    <w:rsid w:val="00C2637B"/>
    <w:rsid w:val="00C80986"/>
    <w:rsid w:val="00C84707"/>
    <w:rsid w:val="00C8651A"/>
    <w:rsid w:val="00CA4C72"/>
    <w:rsid w:val="00CA62D3"/>
    <w:rsid w:val="00CB2F1A"/>
    <w:rsid w:val="00CC4FDE"/>
    <w:rsid w:val="00CD04A2"/>
    <w:rsid w:val="00CD0F13"/>
    <w:rsid w:val="00CD6160"/>
    <w:rsid w:val="00CE63D2"/>
    <w:rsid w:val="00CE6BA5"/>
    <w:rsid w:val="00CE6BF4"/>
    <w:rsid w:val="00CE7671"/>
    <w:rsid w:val="00CE7942"/>
    <w:rsid w:val="00D15010"/>
    <w:rsid w:val="00D17966"/>
    <w:rsid w:val="00D40A40"/>
    <w:rsid w:val="00D419E6"/>
    <w:rsid w:val="00D45F5B"/>
    <w:rsid w:val="00D524A6"/>
    <w:rsid w:val="00D60668"/>
    <w:rsid w:val="00D72389"/>
    <w:rsid w:val="00D74AAF"/>
    <w:rsid w:val="00D77795"/>
    <w:rsid w:val="00DA0CBD"/>
    <w:rsid w:val="00DA1A8E"/>
    <w:rsid w:val="00DA6EA6"/>
    <w:rsid w:val="00DA7F38"/>
    <w:rsid w:val="00DC5595"/>
    <w:rsid w:val="00DC6F81"/>
    <w:rsid w:val="00DD20A3"/>
    <w:rsid w:val="00DD4917"/>
    <w:rsid w:val="00DD5192"/>
    <w:rsid w:val="00DD76AE"/>
    <w:rsid w:val="00DE0F18"/>
    <w:rsid w:val="00DE2034"/>
    <w:rsid w:val="00DF012A"/>
    <w:rsid w:val="00DF5BAC"/>
    <w:rsid w:val="00E01B42"/>
    <w:rsid w:val="00E172B0"/>
    <w:rsid w:val="00E31538"/>
    <w:rsid w:val="00E34153"/>
    <w:rsid w:val="00E36978"/>
    <w:rsid w:val="00E51184"/>
    <w:rsid w:val="00E5372A"/>
    <w:rsid w:val="00E66F3A"/>
    <w:rsid w:val="00E66FFB"/>
    <w:rsid w:val="00E90D25"/>
    <w:rsid w:val="00E92AB1"/>
    <w:rsid w:val="00EC206C"/>
    <w:rsid w:val="00EC5FE2"/>
    <w:rsid w:val="00EE2596"/>
    <w:rsid w:val="00EE2771"/>
    <w:rsid w:val="00EF2015"/>
    <w:rsid w:val="00EF2D9B"/>
    <w:rsid w:val="00F047D4"/>
    <w:rsid w:val="00F113B0"/>
    <w:rsid w:val="00F11E3B"/>
    <w:rsid w:val="00F2048C"/>
    <w:rsid w:val="00F204CC"/>
    <w:rsid w:val="00F23A77"/>
    <w:rsid w:val="00F2651C"/>
    <w:rsid w:val="00F337E9"/>
    <w:rsid w:val="00F379BA"/>
    <w:rsid w:val="00F42B3D"/>
    <w:rsid w:val="00F47F89"/>
    <w:rsid w:val="00F50EE2"/>
    <w:rsid w:val="00F703D9"/>
    <w:rsid w:val="00F72113"/>
    <w:rsid w:val="00F722DD"/>
    <w:rsid w:val="00F810C8"/>
    <w:rsid w:val="00FC1446"/>
    <w:rsid w:val="00FC2EB8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6E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6506E0"/>
    <w:rPr>
      <w:color w:val="0000FF"/>
      <w:u w:val="single"/>
    </w:rPr>
  </w:style>
  <w:style w:type="character" w:customStyle="1" w:styleId="hiperlink">
    <w:name w:val="hiperlink"/>
    <w:basedOn w:val="Fontepargpadro"/>
    <w:rsid w:val="006506E0"/>
  </w:style>
  <w:style w:type="character" w:customStyle="1" w:styleId="Ttulo3Char">
    <w:name w:val="Título 3 Char"/>
    <w:basedOn w:val="Fontepargpadro"/>
    <w:link w:val="Ttulo3"/>
    <w:semiHidden/>
    <w:rsid w:val="00A1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normal">
    <w:name w:val="textonormal"/>
    <w:basedOn w:val="Normal"/>
    <w:rsid w:val="00A10DB5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4D3F0E"/>
    <w:rPr>
      <w:b/>
      <w:bCs/>
    </w:rPr>
  </w:style>
  <w:style w:type="character" w:styleId="nfase">
    <w:name w:val="Emphasis"/>
    <w:basedOn w:val="Fontepargpadro"/>
    <w:uiPriority w:val="20"/>
    <w:qFormat/>
    <w:rsid w:val="004D3F0E"/>
    <w:rPr>
      <w:i/>
      <w:iCs/>
    </w:rPr>
  </w:style>
  <w:style w:type="character" w:customStyle="1" w:styleId="st">
    <w:name w:val="st"/>
    <w:basedOn w:val="Fontepargpadro"/>
    <w:rsid w:val="004D3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6E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6506E0"/>
    <w:rPr>
      <w:color w:val="0000FF"/>
      <w:u w:val="single"/>
    </w:rPr>
  </w:style>
  <w:style w:type="character" w:customStyle="1" w:styleId="hiperlink">
    <w:name w:val="hiperlink"/>
    <w:basedOn w:val="Fontepargpadro"/>
    <w:rsid w:val="006506E0"/>
  </w:style>
  <w:style w:type="character" w:customStyle="1" w:styleId="Ttulo3Char">
    <w:name w:val="Título 3 Char"/>
    <w:basedOn w:val="Fontepargpadro"/>
    <w:link w:val="Ttulo3"/>
    <w:semiHidden/>
    <w:rsid w:val="00A1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normal">
    <w:name w:val="textonormal"/>
    <w:basedOn w:val="Normal"/>
    <w:rsid w:val="00A10DB5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4D3F0E"/>
    <w:rPr>
      <w:b/>
      <w:bCs/>
    </w:rPr>
  </w:style>
  <w:style w:type="character" w:styleId="nfase">
    <w:name w:val="Emphasis"/>
    <w:basedOn w:val="Fontepargpadro"/>
    <w:uiPriority w:val="20"/>
    <w:qFormat/>
    <w:rsid w:val="004D3F0E"/>
    <w:rPr>
      <w:i/>
      <w:iCs/>
    </w:rPr>
  </w:style>
  <w:style w:type="character" w:customStyle="1" w:styleId="st">
    <w:name w:val="st"/>
    <w:basedOn w:val="Fontepargpadro"/>
    <w:rsid w:val="004D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2655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2017-10-23T19:44:00Z</cp:lastPrinted>
  <dcterms:created xsi:type="dcterms:W3CDTF">2017-12-18T10:40:00Z</dcterms:created>
  <dcterms:modified xsi:type="dcterms:W3CDTF">2017-12-18T10:40:00Z</dcterms:modified>
</cp:coreProperties>
</file>