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033275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033275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033275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Pr="00033275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033275" w:rsidRDefault="00167E99" w:rsidP="00661172">
      <w:pPr>
        <w:jc w:val="both"/>
        <w:rPr>
          <w:b/>
          <w:sz w:val="26"/>
          <w:szCs w:val="26"/>
        </w:rPr>
      </w:pPr>
      <w:r w:rsidRPr="00033275">
        <w:rPr>
          <w:b/>
          <w:sz w:val="26"/>
          <w:szCs w:val="26"/>
          <w:u w:val="single"/>
        </w:rPr>
        <w:t>REQUERENTE</w:t>
      </w:r>
      <w:r w:rsidRPr="00033275">
        <w:rPr>
          <w:b/>
          <w:sz w:val="26"/>
          <w:szCs w:val="26"/>
        </w:rPr>
        <w:t>: CÂMARA MUNICIPAL DE CLÁUDIO, ESTADO DE MINAS GERAIS.</w:t>
      </w:r>
    </w:p>
    <w:p w:rsidR="00167E99" w:rsidRPr="00033275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033275">
        <w:rPr>
          <w:b/>
          <w:iCs/>
          <w:sz w:val="26"/>
          <w:szCs w:val="26"/>
          <w:u w:val="single"/>
        </w:rPr>
        <w:t>SOLICITANTE</w:t>
      </w:r>
      <w:r w:rsidRPr="00033275">
        <w:rPr>
          <w:b/>
          <w:iCs/>
          <w:sz w:val="26"/>
          <w:szCs w:val="26"/>
        </w:rPr>
        <w:t>: PRESIDENTE DA CASA LEGISLATIVA.</w:t>
      </w:r>
    </w:p>
    <w:p w:rsidR="00167E99" w:rsidRPr="00033275" w:rsidRDefault="00167E99" w:rsidP="00661172">
      <w:pPr>
        <w:jc w:val="both"/>
        <w:rPr>
          <w:sz w:val="26"/>
          <w:szCs w:val="26"/>
          <w:u w:val="single"/>
        </w:rPr>
      </w:pPr>
      <w:r w:rsidRPr="00033275">
        <w:rPr>
          <w:b/>
          <w:sz w:val="26"/>
          <w:szCs w:val="26"/>
          <w:u w:val="single"/>
        </w:rPr>
        <w:t>ASSUNTO</w:t>
      </w:r>
      <w:r w:rsidRPr="00033275">
        <w:rPr>
          <w:b/>
          <w:sz w:val="26"/>
          <w:szCs w:val="26"/>
        </w:rPr>
        <w:t>: Projeto de Lei</w:t>
      </w:r>
      <w:r w:rsidR="000658B3" w:rsidRPr="00033275">
        <w:rPr>
          <w:b/>
          <w:sz w:val="26"/>
          <w:szCs w:val="26"/>
        </w:rPr>
        <w:t xml:space="preserve"> </w:t>
      </w:r>
      <w:r w:rsidR="00B8199D" w:rsidRPr="00033275">
        <w:rPr>
          <w:b/>
          <w:sz w:val="26"/>
          <w:szCs w:val="26"/>
        </w:rPr>
        <w:t>0</w:t>
      </w:r>
      <w:r w:rsidR="00075BFE" w:rsidRPr="00033275">
        <w:rPr>
          <w:b/>
          <w:sz w:val="26"/>
          <w:szCs w:val="26"/>
        </w:rPr>
        <w:t>2</w:t>
      </w:r>
      <w:r w:rsidRPr="00033275">
        <w:rPr>
          <w:b/>
          <w:sz w:val="26"/>
          <w:szCs w:val="26"/>
        </w:rPr>
        <w:t>/20</w:t>
      </w:r>
      <w:r w:rsidR="007035B4" w:rsidRPr="00033275">
        <w:rPr>
          <w:b/>
          <w:sz w:val="26"/>
          <w:szCs w:val="26"/>
        </w:rPr>
        <w:t>1</w:t>
      </w:r>
      <w:r w:rsidR="00B8199D" w:rsidRPr="00033275">
        <w:rPr>
          <w:b/>
          <w:sz w:val="26"/>
          <w:szCs w:val="26"/>
        </w:rPr>
        <w:t>7</w:t>
      </w:r>
      <w:r w:rsidRPr="00033275">
        <w:rPr>
          <w:b/>
          <w:sz w:val="26"/>
          <w:szCs w:val="26"/>
        </w:rPr>
        <w:t xml:space="preserve">, de </w:t>
      </w:r>
      <w:r w:rsidR="00075BFE" w:rsidRPr="00033275">
        <w:rPr>
          <w:b/>
          <w:sz w:val="26"/>
          <w:szCs w:val="26"/>
        </w:rPr>
        <w:t>13</w:t>
      </w:r>
      <w:r w:rsidR="00FC2EB8" w:rsidRPr="00033275">
        <w:rPr>
          <w:b/>
          <w:sz w:val="26"/>
          <w:szCs w:val="26"/>
        </w:rPr>
        <w:t>.</w:t>
      </w:r>
      <w:r w:rsidR="00B8199D" w:rsidRPr="00033275">
        <w:rPr>
          <w:b/>
          <w:sz w:val="26"/>
          <w:szCs w:val="26"/>
        </w:rPr>
        <w:t>02</w:t>
      </w:r>
      <w:r w:rsidR="00316B1A" w:rsidRPr="00033275">
        <w:rPr>
          <w:b/>
          <w:sz w:val="26"/>
          <w:szCs w:val="26"/>
        </w:rPr>
        <w:t>.</w:t>
      </w:r>
      <w:r w:rsidR="00BF04B8" w:rsidRPr="00033275">
        <w:rPr>
          <w:b/>
          <w:sz w:val="26"/>
          <w:szCs w:val="26"/>
        </w:rPr>
        <w:t>201</w:t>
      </w:r>
      <w:r w:rsidR="00B8199D" w:rsidRPr="00033275">
        <w:rPr>
          <w:b/>
          <w:sz w:val="26"/>
          <w:szCs w:val="26"/>
        </w:rPr>
        <w:t>7</w:t>
      </w:r>
      <w:r w:rsidRPr="00033275">
        <w:rPr>
          <w:b/>
          <w:sz w:val="26"/>
          <w:szCs w:val="26"/>
        </w:rPr>
        <w:t>,</w:t>
      </w:r>
      <w:r w:rsidR="0071591C" w:rsidRPr="00033275">
        <w:rPr>
          <w:b/>
          <w:sz w:val="26"/>
          <w:szCs w:val="26"/>
        </w:rPr>
        <w:t xml:space="preserve"> de autoria do poder </w:t>
      </w:r>
      <w:r w:rsidR="00CE6BF4" w:rsidRPr="00033275">
        <w:rPr>
          <w:b/>
          <w:sz w:val="26"/>
          <w:szCs w:val="26"/>
        </w:rPr>
        <w:t>Executivo</w:t>
      </w:r>
      <w:r w:rsidRPr="00033275">
        <w:rPr>
          <w:b/>
          <w:sz w:val="26"/>
          <w:szCs w:val="26"/>
        </w:rPr>
        <w:t xml:space="preserve"> que “</w:t>
      </w:r>
      <w:r w:rsidR="00CE6BF4" w:rsidRPr="00033275">
        <w:rPr>
          <w:b/>
          <w:i/>
          <w:sz w:val="26"/>
          <w:szCs w:val="26"/>
        </w:rPr>
        <w:t>A</w:t>
      </w:r>
      <w:r w:rsidR="004D29D5" w:rsidRPr="00033275">
        <w:rPr>
          <w:b/>
          <w:i/>
          <w:sz w:val="26"/>
          <w:szCs w:val="26"/>
        </w:rPr>
        <w:t xml:space="preserve">utoriza o Poder Executivo Municipal a alienar bem imóvel, na forma da dação em pagamento e dá outras </w:t>
      </w:r>
      <w:r w:rsidR="00CE6BF4" w:rsidRPr="00033275">
        <w:rPr>
          <w:b/>
          <w:i/>
          <w:sz w:val="26"/>
          <w:szCs w:val="26"/>
        </w:rPr>
        <w:t>providências</w:t>
      </w:r>
      <w:r w:rsidR="0009062B" w:rsidRPr="00033275">
        <w:rPr>
          <w:b/>
          <w:i/>
          <w:sz w:val="26"/>
          <w:szCs w:val="26"/>
        </w:rPr>
        <w:t>”</w:t>
      </w:r>
      <w:r w:rsidR="006B4B47" w:rsidRPr="00033275">
        <w:rPr>
          <w:b/>
          <w:i/>
          <w:sz w:val="26"/>
          <w:szCs w:val="26"/>
        </w:rPr>
        <w:t xml:space="preserve"> e da Emenda Aditiva nº 01 de autoria do vereador Heriberto Tavares do Amaral</w:t>
      </w:r>
      <w:r w:rsidR="008146EC" w:rsidRPr="00033275">
        <w:rPr>
          <w:b/>
          <w:sz w:val="26"/>
          <w:szCs w:val="26"/>
        </w:rPr>
        <w:t>.</w:t>
      </w:r>
    </w:p>
    <w:p w:rsidR="00167E99" w:rsidRPr="00033275" w:rsidRDefault="00167E99" w:rsidP="00661172">
      <w:pPr>
        <w:jc w:val="both"/>
        <w:outlineLvl w:val="0"/>
        <w:rPr>
          <w:b/>
          <w:sz w:val="26"/>
          <w:szCs w:val="26"/>
        </w:rPr>
      </w:pPr>
      <w:r w:rsidRPr="00033275">
        <w:rPr>
          <w:b/>
          <w:sz w:val="26"/>
          <w:szCs w:val="26"/>
          <w:u w:val="single"/>
        </w:rPr>
        <w:t>PARECERISTA</w:t>
      </w:r>
      <w:r w:rsidRPr="00033275">
        <w:rPr>
          <w:b/>
          <w:sz w:val="26"/>
          <w:szCs w:val="26"/>
        </w:rPr>
        <w:t xml:space="preserve">: </w:t>
      </w:r>
      <w:r w:rsidR="00B8199D" w:rsidRPr="00033275">
        <w:rPr>
          <w:b/>
          <w:sz w:val="26"/>
          <w:szCs w:val="26"/>
        </w:rPr>
        <w:t>André Fernandes de Castro</w:t>
      </w:r>
      <w:r w:rsidRPr="00033275">
        <w:rPr>
          <w:b/>
          <w:sz w:val="26"/>
          <w:szCs w:val="26"/>
        </w:rPr>
        <w:t>.</w:t>
      </w:r>
    </w:p>
    <w:p w:rsidR="00167E99" w:rsidRPr="00033275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12DD9" w:rsidRPr="00033275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033275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033275">
        <w:rPr>
          <w:b/>
          <w:sz w:val="26"/>
          <w:szCs w:val="26"/>
          <w:u w:val="single"/>
        </w:rPr>
        <w:t>RELATÓRIO</w:t>
      </w:r>
    </w:p>
    <w:p w:rsidR="00316B1A" w:rsidRPr="00033275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12DD9" w:rsidRPr="00033275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033275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3327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033275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5E5764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visa a autorização desta Casa Legislativa para que o </w:t>
      </w:r>
      <w:r w:rsidR="00397C2A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Poder Executivo Municipal </w:t>
      </w:r>
      <w:r w:rsidR="00794E25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possa </w:t>
      </w:r>
      <w:r w:rsidR="00397C2A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>alienar bem imóvel, na forma de dação em pagamento</w:t>
      </w:r>
      <w:r w:rsidR="00250415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>, à empresa de Assistência Técnica e Extensão Rural do Estado de Minas Gerais – EMATER/MG</w:t>
      </w:r>
      <w:r w:rsidR="00CC4FDE" w:rsidRPr="00033275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Pr="00033275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6A6481" w:rsidRPr="00033275" w:rsidRDefault="00794E25" w:rsidP="00B71C92">
      <w:pPr>
        <w:ind w:firstLine="2127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Segundo consta, o </w:t>
      </w:r>
      <w:r w:rsidR="00B71C92" w:rsidRPr="00033275">
        <w:rPr>
          <w:sz w:val="26"/>
          <w:szCs w:val="26"/>
        </w:rPr>
        <w:t xml:space="preserve">município de Claudio </w:t>
      </w:r>
      <w:r w:rsidRPr="00033275">
        <w:rPr>
          <w:sz w:val="26"/>
          <w:szCs w:val="26"/>
        </w:rPr>
        <w:t>desenvolve uma parceria por meio de convênio com a EMATER/MG, firmado em 01/07/2014, na busca de soluções e programas de desenvolvimento do setor rural, visando melhorias das condições econômicas e sociais da população.</w:t>
      </w:r>
      <w:r w:rsidR="006A6481" w:rsidRPr="00033275">
        <w:rPr>
          <w:sz w:val="26"/>
          <w:szCs w:val="26"/>
        </w:rPr>
        <w:t xml:space="preserve"> De acordo com a Cláusula Quarta do referido convênio, item 1, o Município deve participar com  recursos financeiros necessários para a execução do programa conveniado, com a importância mensal de R$10.581,00 (dez mil, quinhentos e oitenta e um reais), reajustado automaticamente e a cada 12 (doze) meses, pelos índices de INPC/IBGE do período.</w:t>
      </w:r>
    </w:p>
    <w:p w:rsidR="006A6481" w:rsidRPr="00033275" w:rsidRDefault="006A6481" w:rsidP="00B71C92">
      <w:pPr>
        <w:ind w:firstLine="2127"/>
        <w:jc w:val="both"/>
        <w:rPr>
          <w:sz w:val="26"/>
          <w:szCs w:val="26"/>
        </w:rPr>
      </w:pPr>
    </w:p>
    <w:p w:rsidR="00366430" w:rsidRPr="00033275" w:rsidRDefault="006A6481" w:rsidP="00B71C92">
      <w:pPr>
        <w:ind w:firstLine="2127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Entretanto, informa o </w:t>
      </w:r>
      <w:r w:rsidR="00641CB7" w:rsidRPr="00033275">
        <w:rPr>
          <w:sz w:val="26"/>
          <w:szCs w:val="26"/>
        </w:rPr>
        <w:t xml:space="preserve">Executivo </w:t>
      </w:r>
      <w:r w:rsidRPr="00033275">
        <w:rPr>
          <w:sz w:val="26"/>
          <w:szCs w:val="26"/>
        </w:rPr>
        <w:t>que, em razão da</w:t>
      </w:r>
      <w:r w:rsidR="00641CB7" w:rsidRPr="00033275">
        <w:rPr>
          <w:sz w:val="26"/>
          <w:szCs w:val="26"/>
        </w:rPr>
        <w:t xml:space="preserve"> atual situação financeira dos Municípios nos últimos anos, algumas parcelas mensais do convênio com a EMATER/MG </w:t>
      </w:r>
      <w:r w:rsidR="00366430" w:rsidRPr="00033275">
        <w:rPr>
          <w:sz w:val="26"/>
          <w:szCs w:val="26"/>
        </w:rPr>
        <w:t xml:space="preserve">se </w:t>
      </w:r>
      <w:r w:rsidR="00641CB7" w:rsidRPr="00033275">
        <w:rPr>
          <w:sz w:val="26"/>
          <w:szCs w:val="26"/>
        </w:rPr>
        <w:t>encontram em aberto,</w:t>
      </w:r>
      <w:r w:rsidR="00366430" w:rsidRPr="00033275">
        <w:rPr>
          <w:sz w:val="26"/>
          <w:szCs w:val="26"/>
        </w:rPr>
        <w:t xml:space="preserve"> e não há condições de arcar com tal pagamento em dinheiro. Em contrapartida, a dação em pagamento de dois imóveis sem utilidade pública poderá solucionar a pendência financeira</w:t>
      </w:r>
      <w:r w:rsidR="007506B6" w:rsidRPr="00033275">
        <w:rPr>
          <w:sz w:val="26"/>
          <w:szCs w:val="26"/>
        </w:rPr>
        <w:t xml:space="preserve"> com a EMATER/MG</w:t>
      </w:r>
      <w:r w:rsidR="00366430" w:rsidRPr="00033275">
        <w:rPr>
          <w:sz w:val="26"/>
          <w:szCs w:val="26"/>
        </w:rPr>
        <w:t xml:space="preserve">, </w:t>
      </w:r>
      <w:r w:rsidR="007506B6" w:rsidRPr="00033275">
        <w:rPr>
          <w:sz w:val="26"/>
          <w:szCs w:val="26"/>
        </w:rPr>
        <w:t xml:space="preserve">mantendo o convênio de relevância importância para </w:t>
      </w:r>
      <w:r w:rsidR="00907A3D" w:rsidRPr="00033275">
        <w:rPr>
          <w:sz w:val="26"/>
          <w:szCs w:val="26"/>
        </w:rPr>
        <w:t xml:space="preserve">a população rural, </w:t>
      </w:r>
      <w:r w:rsidR="00366430" w:rsidRPr="00033275">
        <w:rPr>
          <w:sz w:val="26"/>
          <w:szCs w:val="26"/>
        </w:rPr>
        <w:t xml:space="preserve">sem prejuízo de paralisação das atividades </w:t>
      </w:r>
      <w:r w:rsidR="007506B6" w:rsidRPr="00033275">
        <w:rPr>
          <w:sz w:val="26"/>
          <w:szCs w:val="26"/>
        </w:rPr>
        <w:t>administrativas e dos serviços prestados aos munícipes</w:t>
      </w:r>
      <w:r w:rsidR="002B2337">
        <w:rPr>
          <w:sz w:val="26"/>
          <w:szCs w:val="26"/>
        </w:rPr>
        <w:t>.</w:t>
      </w:r>
    </w:p>
    <w:p w:rsidR="00F72113" w:rsidRPr="00033275" w:rsidRDefault="00F72113" w:rsidP="00B71C92">
      <w:pPr>
        <w:ind w:firstLine="2127"/>
        <w:jc w:val="both"/>
        <w:rPr>
          <w:sz w:val="26"/>
          <w:szCs w:val="26"/>
        </w:rPr>
      </w:pPr>
    </w:p>
    <w:p w:rsidR="00153B48" w:rsidRPr="00033275" w:rsidRDefault="00153B48" w:rsidP="00B71C92">
      <w:pPr>
        <w:ind w:firstLine="2127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A</w:t>
      </w:r>
      <w:r w:rsidR="00870348" w:rsidRPr="00033275">
        <w:rPr>
          <w:sz w:val="26"/>
          <w:szCs w:val="26"/>
        </w:rPr>
        <w:t xml:space="preserve">nexa ao projeto </w:t>
      </w:r>
      <w:r w:rsidR="00F2651C" w:rsidRPr="00033275">
        <w:rPr>
          <w:sz w:val="26"/>
          <w:szCs w:val="26"/>
        </w:rPr>
        <w:t xml:space="preserve">de Lei </w:t>
      </w:r>
      <w:r w:rsidRPr="00033275">
        <w:rPr>
          <w:sz w:val="26"/>
          <w:szCs w:val="26"/>
        </w:rPr>
        <w:t xml:space="preserve">a necessária avaliação mercadológica dos dois imóveis localizados na Avenida Uberlândia, no Bairro Serra Verde II, nessa cidade de Cláudio/MG, livres e desembaraçados de quaisquer ônus, devidamente </w:t>
      </w:r>
      <w:r w:rsidRPr="00033275">
        <w:rPr>
          <w:sz w:val="26"/>
          <w:szCs w:val="26"/>
        </w:rPr>
        <w:lastRenderedPageBreak/>
        <w:t xml:space="preserve">registrados no CRI local, sob matrículas nº.17.898, com 275,54m² (duzentos e setenta e cinco metros e cinquenta e quatro centímetro quadrados) e nº. 17.899, com 292,71 (duzentos e noventa e dois metros e setenta e um centímetros quadrados), realizada por perito em avaliação registrado no CRECI/MG, totalizando o montante de R$102.551,98 (cento e dois mil, quinhentos e cinquenta e um reais e noventa e oito centavos). </w:t>
      </w:r>
    </w:p>
    <w:p w:rsidR="00BD1EA0" w:rsidRPr="00033275" w:rsidRDefault="00BD1EA0" w:rsidP="00B71C92">
      <w:pPr>
        <w:ind w:firstLine="2127"/>
        <w:jc w:val="both"/>
        <w:rPr>
          <w:sz w:val="26"/>
          <w:szCs w:val="26"/>
        </w:rPr>
      </w:pPr>
    </w:p>
    <w:p w:rsidR="00B71C92" w:rsidRPr="00033275" w:rsidRDefault="00153B48" w:rsidP="00B71C92">
      <w:pPr>
        <w:ind w:firstLine="2127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Anexa</w:t>
      </w:r>
      <w:r w:rsidR="006F1F34" w:rsidRPr="00033275">
        <w:rPr>
          <w:sz w:val="26"/>
          <w:szCs w:val="26"/>
        </w:rPr>
        <w:t xml:space="preserve"> também </w:t>
      </w:r>
      <w:r w:rsidRPr="00033275">
        <w:rPr>
          <w:sz w:val="26"/>
          <w:szCs w:val="26"/>
        </w:rPr>
        <w:t>as respectivas matrículas descrevendo a desafetação dos referidos bens, cópia do conv</w:t>
      </w:r>
      <w:r w:rsidR="00E01B42" w:rsidRPr="00033275">
        <w:rPr>
          <w:sz w:val="26"/>
          <w:szCs w:val="26"/>
        </w:rPr>
        <w:t>ê</w:t>
      </w:r>
      <w:r w:rsidRPr="00033275">
        <w:rPr>
          <w:sz w:val="26"/>
          <w:szCs w:val="26"/>
        </w:rPr>
        <w:t xml:space="preserve">nio firmado coma EMATER/MG em 01/07/2014, </w:t>
      </w:r>
      <w:r w:rsidR="0031600D" w:rsidRPr="00033275">
        <w:rPr>
          <w:sz w:val="26"/>
          <w:szCs w:val="26"/>
        </w:rPr>
        <w:t>publicação do diário oficial de 11/07/2014 e a relação de despesas a pagar para o credor 116-EMATER, que totaliza em R$102.551,98 (cento e dois mil, quinhentos e cinquenta e um reais e noventa e oito centavos).</w:t>
      </w:r>
    </w:p>
    <w:p w:rsidR="00F72113" w:rsidRPr="00033275" w:rsidRDefault="00F72113" w:rsidP="00B71C92">
      <w:pPr>
        <w:ind w:firstLine="2127"/>
        <w:jc w:val="both"/>
        <w:rPr>
          <w:sz w:val="26"/>
          <w:szCs w:val="26"/>
        </w:rPr>
      </w:pPr>
    </w:p>
    <w:p w:rsidR="00B71C92" w:rsidRPr="00033275" w:rsidRDefault="00B71C92" w:rsidP="00B71C92">
      <w:pPr>
        <w:ind w:firstLine="2127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Foi apresentad</w:t>
      </w:r>
      <w:r w:rsidR="00F2651C" w:rsidRPr="00033275">
        <w:rPr>
          <w:sz w:val="26"/>
          <w:szCs w:val="26"/>
        </w:rPr>
        <w:t xml:space="preserve">a </w:t>
      </w:r>
      <w:r w:rsidRPr="00033275">
        <w:rPr>
          <w:sz w:val="26"/>
          <w:szCs w:val="26"/>
        </w:rPr>
        <w:t xml:space="preserve">emenda aditiva para </w:t>
      </w:r>
      <w:r w:rsidR="00AF45C2" w:rsidRPr="00033275">
        <w:rPr>
          <w:sz w:val="26"/>
          <w:szCs w:val="26"/>
        </w:rPr>
        <w:t xml:space="preserve">descrever o exato período </w:t>
      </w:r>
      <w:r w:rsidR="00E01B42" w:rsidRPr="00033275">
        <w:rPr>
          <w:sz w:val="26"/>
          <w:szCs w:val="26"/>
        </w:rPr>
        <w:t xml:space="preserve">das parcelas em atraso </w:t>
      </w:r>
      <w:r w:rsidR="00AF45C2" w:rsidRPr="00033275">
        <w:rPr>
          <w:sz w:val="26"/>
          <w:szCs w:val="26"/>
        </w:rPr>
        <w:t>que a dação em pagamento quitará, qual seja, aquel</w:t>
      </w:r>
      <w:r w:rsidR="00E01B42" w:rsidRPr="00033275">
        <w:rPr>
          <w:sz w:val="26"/>
          <w:szCs w:val="26"/>
        </w:rPr>
        <w:t>a</w:t>
      </w:r>
      <w:r w:rsidR="00AF45C2" w:rsidRPr="00033275">
        <w:rPr>
          <w:sz w:val="26"/>
          <w:szCs w:val="26"/>
        </w:rPr>
        <w:t>s vencidas até a data de 31 de dezembro de 2016</w:t>
      </w:r>
      <w:r w:rsidR="00F2048C" w:rsidRPr="00033275">
        <w:rPr>
          <w:sz w:val="26"/>
          <w:szCs w:val="26"/>
        </w:rPr>
        <w:t>.</w:t>
      </w:r>
    </w:p>
    <w:p w:rsidR="00F2048C" w:rsidRPr="00033275" w:rsidRDefault="00F2048C" w:rsidP="00B71C92">
      <w:pPr>
        <w:ind w:firstLine="2127"/>
        <w:jc w:val="both"/>
        <w:rPr>
          <w:sz w:val="26"/>
          <w:szCs w:val="26"/>
        </w:rPr>
      </w:pPr>
    </w:p>
    <w:p w:rsidR="00B71C92" w:rsidRPr="00033275" w:rsidRDefault="00B71C92" w:rsidP="00B71C92">
      <w:pPr>
        <w:jc w:val="both"/>
        <w:outlineLvl w:val="0"/>
        <w:rPr>
          <w:sz w:val="26"/>
          <w:szCs w:val="26"/>
        </w:rPr>
      </w:pP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  <w:t>Em apertada síntese é o relato do necessário.</w:t>
      </w:r>
    </w:p>
    <w:p w:rsidR="00312DD9" w:rsidRPr="00033275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12DD9" w:rsidRPr="00033275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B71C92" w:rsidRPr="00033275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033275">
        <w:rPr>
          <w:b/>
          <w:sz w:val="26"/>
          <w:szCs w:val="26"/>
          <w:u w:val="single"/>
        </w:rPr>
        <w:t>FUNDAMENTAÇÃO</w:t>
      </w:r>
    </w:p>
    <w:p w:rsidR="00B71C92" w:rsidRPr="00033275" w:rsidRDefault="00B71C92" w:rsidP="00B71C92">
      <w:pPr>
        <w:pStyle w:val="Corpodetexto"/>
        <w:spacing w:after="0"/>
        <w:rPr>
          <w:sz w:val="26"/>
          <w:szCs w:val="26"/>
        </w:rPr>
      </w:pPr>
    </w:p>
    <w:p w:rsidR="00B71C92" w:rsidRPr="00033275" w:rsidRDefault="00B71C92" w:rsidP="00B71C92">
      <w:pPr>
        <w:jc w:val="both"/>
        <w:rPr>
          <w:sz w:val="26"/>
          <w:szCs w:val="26"/>
        </w:rPr>
      </w:pP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  <w:t xml:space="preserve">A matéria versada no projeto em questão é de interesse local, aliado ao fato de que a sua iniciativa </w:t>
      </w:r>
      <w:r w:rsidR="00896C18" w:rsidRPr="00033275">
        <w:rPr>
          <w:sz w:val="26"/>
          <w:szCs w:val="26"/>
        </w:rPr>
        <w:t xml:space="preserve">compete ao </w:t>
      </w:r>
      <w:r w:rsidRPr="00033275">
        <w:rPr>
          <w:sz w:val="26"/>
          <w:szCs w:val="26"/>
        </w:rPr>
        <w:t xml:space="preserve">Chefe do Executivo nos termos do art. </w:t>
      </w:r>
      <w:r w:rsidR="00481434" w:rsidRPr="00033275">
        <w:rPr>
          <w:sz w:val="26"/>
          <w:szCs w:val="26"/>
        </w:rPr>
        <w:t>30</w:t>
      </w:r>
      <w:r w:rsidRPr="00033275">
        <w:rPr>
          <w:sz w:val="26"/>
          <w:szCs w:val="26"/>
        </w:rPr>
        <w:t xml:space="preserve"> c/c </w:t>
      </w:r>
      <w:r w:rsidR="004628DE" w:rsidRPr="00033275">
        <w:rPr>
          <w:sz w:val="26"/>
          <w:szCs w:val="26"/>
        </w:rPr>
        <w:t xml:space="preserve">art. 52, incisos I e XXV, e ainda fundamentada no </w:t>
      </w:r>
      <w:r w:rsidRPr="00033275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B71C92" w:rsidRPr="00033275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177320" w:rsidRPr="00033275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O projeto de Lei visa alterar </w:t>
      </w:r>
      <w:r w:rsidR="009D2CDE" w:rsidRPr="00033275">
        <w:rPr>
          <w:i/>
          <w:sz w:val="26"/>
          <w:szCs w:val="26"/>
        </w:rPr>
        <w:t>autorização desta Casa Legislativa para que o Poder Executivo Municipal possa alienar bem imóvel, na forma de dação em pagamento, à empresa de Assistência Técnica e Extensão Rural do Estado de Minas Gerais – EMATER/MG</w:t>
      </w:r>
      <w:r w:rsidR="007D2753" w:rsidRPr="00033275">
        <w:rPr>
          <w:sz w:val="26"/>
          <w:szCs w:val="26"/>
        </w:rPr>
        <w:t xml:space="preserve">. Atualmente, </w:t>
      </w:r>
      <w:r w:rsidR="009D2CDE" w:rsidRPr="00033275">
        <w:rPr>
          <w:sz w:val="26"/>
          <w:szCs w:val="26"/>
        </w:rPr>
        <w:t>segundo memória de débito anexa ao projeto, os restos processuais devidos pelo Município em 31/12/2016 para a EMATER/MG, somam em R$102.551,98 (cento e dois mil, quinhentos e cinquenta e um reais e noventa e oito centavos).</w:t>
      </w:r>
    </w:p>
    <w:p w:rsidR="00747F72" w:rsidRPr="00033275" w:rsidRDefault="00747F7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907CF6" w:rsidRPr="00033275" w:rsidRDefault="00DD20A3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Inicialmente, </w:t>
      </w:r>
      <w:r w:rsidR="00907CF6" w:rsidRPr="00033275">
        <w:rPr>
          <w:sz w:val="26"/>
          <w:szCs w:val="26"/>
        </w:rPr>
        <w:t>urge destacar que a dação em pagamento é um negócio jurídico previsto no artigo 356 do Código Civil em que, a partir da convergência da vontade das partes envolvidas, o credor consenti em receber prestação diversa da que lhe é devida. Assim, pode haver substituição de dinheiro coisa “</w:t>
      </w:r>
      <w:r w:rsidR="00907CF6" w:rsidRPr="00033275">
        <w:rPr>
          <w:i/>
          <w:sz w:val="26"/>
          <w:szCs w:val="26"/>
        </w:rPr>
        <w:t>rem pro pecuni</w:t>
      </w:r>
      <w:r w:rsidR="00907CF6" w:rsidRPr="00033275">
        <w:rPr>
          <w:sz w:val="26"/>
          <w:szCs w:val="26"/>
        </w:rPr>
        <w:t>”.</w:t>
      </w:r>
    </w:p>
    <w:p w:rsidR="00EC5FE2" w:rsidRPr="00033275" w:rsidRDefault="00EC5FE2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lastRenderedPageBreak/>
        <w:t xml:space="preserve">Esta previsão legal é </w:t>
      </w:r>
      <w:r w:rsidR="00FC1446" w:rsidRPr="00033275">
        <w:rPr>
          <w:sz w:val="26"/>
          <w:szCs w:val="26"/>
        </w:rPr>
        <w:t xml:space="preserve">dada também </w:t>
      </w:r>
      <w:r w:rsidRPr="00033275">
        <w:rPr>
          <w:sz w:val="26"/>
          <w:szCs w:val="26"/>
        </w:rPr>
        <w:t>à Administração Pública, quando ela restar devedora de alguma importância</w:t>
      </w:r>
      <w:r w:rsidR="00127900" w:rsidRPr="00033275">
        <w:rPr>
          <w:sz w:val="26"/>
          <w:szCs w:val="26"/>
        </w:rPr>
        <w:t xml:space="preserve">, desde </w:t>
      </w:r>
      <w:r w:rsidRPr="00033275">
        <w:rPr>
          <w:sz w:val="26"/>
          <w:szCs w:val="26"/>
        </w:rPr>
        <w:t>que o credor aceite receber bem público como forma de quitação do débito, sendo, no entanto, imprescindível os requisitos da dação em pagamento, quais sejam: autorização legal; avaliação pr</w:t>
      </w:r>
      <w:r w:rsidR="00127900" w:rsidRPr="00033275">
        <w:rPr>
          <w:sz w:val="26"/>
          <w:szCs w:val="26"/>
        </w:rPr>
        <w:t>é</w:t>
      </w:r>
      <w:r w:rsidRPr="00033275">
        <w:rPr>
          <w:sz w:val="26"/>
          <w:szCs w:val="26"/>
        </w:rPr>
        <w:t xml:space="preserve">via do bem público a ser transferido. Tais requisitos tornam inexigível a licitação, já que inviável o regime de competição na hipótese da dação em pagamento. </w:t>
      </w:r>
    </w:p>
    <w:p w:rsidR="005858CF" w:rsidRPr="00033275" w:rsidRDefault="005858CF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0D3B57" w:rsidRPr="00033275" w:rsidRDefault="000D3B57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Tal previsão encontra-se fundamentada no artigo 17, inciso I da Lei 8.666/93 (Lei de Licitações), desde que atendidos todos os requisitos legais.</w:t>
      </w:r>
    </w:p>
    <w:p w:rsidR="000D3B57" w:rsidRPr="00033275" w:rsidRDefault="000D3B57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52E2D" w:rsidRPr="00033275" w:rsidRDefault="005858CF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Em análise do presente caso, </w:t>
      </w:r>
      <w:r w:rsidR="00E172B0" w:rsidRPr="00033275">
        <w:rPr>
          <w:sz w:val="26"/>
          <w:szCs w:val="26"/>
        </w:rPr>
        <w:t>inicialmente verifica-se que os referidos bens, objetos de autorização legislativa, foram previamente desafetados (ato que torna o bem público apropri</w:t>
      </w:r>
      <w:r w:rsidR="00E01B42" w:rsidRPr="00033275">
        <w:rPr>
          <w:sz w:val="26"/>
          <w:szCs w:val="26"/>
        </w:rPr>
        <w:t>á</w:t>
      </w:r>
      <w:r w:rsidR="00E172B0" w:rsidRPr="00033275">
        <w:rPr>
          <w:sz w:val="26"/>
          <w:szCs w:val="26"/>
        </w:rPr>
        <w:t>vel</w:t>
      </w:r>
      <w:r w:rsidR="00EE2596" w:rsidRPr="00033275">
        <w:rPr>
          <w:sz w:val="26"/>
          <w:szCs w:val="26"/>
        </w:rPr>
        <w:t xml:space="preserve">, permissivo à </w:t>
      </w:r>
      <w:r w:rsidR="00E172B0" w:rsidRPr="00033275">
        <w:rPr>
          <w:sz w:val="26"/>
          <w:szCs w:val="26"/>
        </w:rPr>
        <w:t>alien</w:t>
      </w:r>
      <w:r w:rsidR="00EE2596" w:rsidRPr="00033275">
        <w:rPr>
          <w:sz w:val="26"/>
          <w:szCs w:val="26"/>
        </w:rPr>
        <w:t>ação</w:t>
      </w:r>
      <w:r w:rsidR="00E172B0" w:rsidRPr="00033275">
        <w:rPr>
          <w:sz w:val="26"/>
          <w:szCs w:val="26"/>
        </w:rPr>
        <w:t>), em 06/06/2016, conforme se verifica nas averbações descritas nas respectivas matrículas imobiliárias, deixando de ser um bem de uso comum, autorizado sua alienação.</w:t>
      </w:r>
    </w:p>
    <w:p w:rsidR="000D3B57" w:rsidRPr="00033275" w:rsidRDefault="000D3B57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0D3B57" w:rsidRPr="00033275" w:rsidRDefault="000D3B57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Sobre a avaliação mercadológica realizada em 22/</w:t>
      </w:r>
      <w:r w:rsidR="00A877FD" w:rsidRPr="00033275">
        <w:rPr>
          <w:sz w:val="26"/>
          <w:szCs w:val="26"/>
        </w:rPr>
        <w:t>1</w:t>
      </w:r>
      <w:r w:rsidRPr="00033275">
        <w:rPr>
          <w:sz w:val="26"/>
          <w:szCs w:val="26"/>
        </w:rPr>
        <w:t>1/2016, verifica que ela apresenta</w:t>
      </w:r>
      <w:r w:rsidR="00A877FD" w:rsidRPr="00033275">
        <w:rPr>
          <w:sz w:val="26"/>
          <w:szCs w:val="26"/>
        </w:rPr>
        <w:t>,</w:t>
      </w:r>
      <w:r w:rsidRPr="00033275">
        <w:rPr>
          <w:sz w:val="26"/>
          <w:szCs w:val="26"/>
        </w:rPr>
        <w:t xml:space="preserve"> como valor de mercado por metro quadrado</w:t>
      </w:r>
      <w:r w:rsidR="00A877FD" w:rsidRPr="00033275">
        <w:rPr>
          <w:sz w:val="26"/>
          <w:szCs w:val="26"/>
        </w:rPr>
        <w:t>,</w:t>
      </w:r>
      <w:r w:rsidRPr="00033275">
        <w:rPr>
          <w:sz w:val="26"/>
          <w:szCs w:val="26"/>
        </w:rPr>
        <w:t xml:space="preserve"> o montante de R$150,00 (cento e cinquenta reais). Logo, considerando as metragens individuais de cada imóvel, o lote de registro 17898 </w:t>
      </w:r>
      <w:r w:rsidR="003C05A9" w:rsidRPr="00033275">
        <w:rPr>
          <w:sz w:val="26"/>
          <w:szCs w:val="26"/>
        </w:rPr>
        <w:t xml:space="preserve">(275,54m²) foi avaliado em R$41.331,00 (quarenta e um mil, trezentos e trinta e um reais) e o lote de registro </w:t>
      </w:r>
      <w:r w:rsidRPr="00033275">
        <w:rPr>
          <w:sz w:val="26"/>
          <w:szCs w:val="26"/>
        </w:rPr>
        <w:t>17899</w:t>
      </w:r>
      <w:r w:rsidR="003C05A9" w:rsidRPr="00033275">
        <w:rPr>
          <w:sz w:val="26"/>
          <w:szCs w:val="26"/>
        </w:rPr>
        <w:t xml:space="preserve"> (292,71m²) foi avaliado em R$43.906,50 (quarenta e três mil, novecentos e seis reais e cinquenta centavos). Somados eles atingem o valor de R$85.237,50 (oitenta e cinco mil, duzentos e trinta e sete reais e cinquenta centavos). Portanto, um valor inferior ao débito que deverá ser quitado através da dação em pagamento.</w:t>
      </w:r>
    </w:p>
    <w:p w:rsidR="00CD6160" w:rsidRPr="00033275" w:rsidRDefault="00CD616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9216DF" w:rsidRPr="00033275" w:rsidRDefault="00CD6160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O interesse público exigível para a celebração da dação em pagamento, da mesma forma parece presente, </w:t>
      </w:r>
      <w:r w:rsidR="000F04C9" w:rsidRPr="00033275">
        <w:rPr>
          <w:sz w:val="26"/>
          <w:szCs w:val="26"/>
        </w:rPr>
        <w:t xml:space="preserve">como </w:t>
      </w:r>
      <w:r w:rsidR="001A4765" w:rsidRPr="00033275">
        <w:rPr>
          <w:sz w:val="26"/>
          <w:szCs w:val="26"/>
        </w:rPr>
        <w:t xml:space="preserve">foi amplamente trazido na justificativa pelo Poder Executivo. Segundo consta, </w:t>
      </w:r>
      <w:r w:rsidR="009216DF" w:rsidRPr="00033275">
        <w:rPr>
          <w:sz w:val="26"/>
          <w:szCs w:val="26"/>
        </w:rPr>
        <w:t>o conv</w:t>
      </w:r>
      <w:r w:rsidR="00A16218" w:rsidRPr="00033275">
        <w:rPr>
          <w:sz w:val="26"/>
          <w:szCs w:val="26"/>
        </w:rPr>
        <w:t>ê</w:t>
      </w:r>
      <w:r w:rsidR="009216DF" w:rsidRPr="00033275">
        <w:rPr>
          <w:sz w:val="26"/>
          <w:szCs w:val="26"/>
        </w:rPr>
        <w:t xml:space="preserve">nio firmado com a EMATER/MG em 01/07/2014 </w:t>
      </w:r>
      <w:r w:rsidR="00467542" w:rsidRPr="00033275">
        <w:rPr>
          <w:sz w:val="26"/>
          <w:szCs w:val="26"/>
        </w:rPr>
        <w:t xml:space="preserve">tem trazido um substancial desenvolvimento de soluções para o setor agropecuário local, atendendo em especial a população rural, com o aproveitamento adequado e planejado das potencialidades do Município, de modo a buscar a autossuficiência do setor. </w:t>
      </w:r>
    </w:p>
    <w:p w:rsidR="001E1AD8" w:rsidRPr="00033275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 </w:t>
      </w:r>
    </w:p>
    <w:p w:rsidR="001E1AD8" w:rsidRPr="00033275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Resta, a devida autorização legislativa o que se faz através do presente projeto de lei, sendo que a </w:t>
      </w:r>
      <w:r w:rsidR="00DD20A3" w:rsidRPr="00033275">
        <w:rPr>
          <w:sz w:val="26"/>
          <w:szCs w:val="26"/>
        </w:rPr>
        <w:t xml:space="preserve">matéria </w:t>
      </w:r>
      <w:r w:rsidRPr="00033275">
        <w:rPr>
          <w:sz w:val="26"/>
          <w:szCs w:val="26"/>
        </w:rPr>
        <w:t>n</w:t>
      </w:r>
      <w:r w:rsidR="00DD20A3" w:rsidRPr="00033275">
        <w:rPr>
          <w:sz w:val="26"/>
          <w:szCs w:val="26"/>
        </w:rPr>
        <w:t>ão se mostra divergente à Lei</w:t>
      </w:r>
      <w:r w:rsidRPr="00033275">
        <w:rPr>
          <w:sz w:val="26"/>
          <w:szCs w:val="26"/>
        </w:rPr>
        <w:t xml:space="preserve"> em vigor, pois reza de acordo com parâmetros da Lei das Licitações que autoriza a dação em pagamento.</w:t>
      </w:r>
    </w:p>
    <w:p w:rsidR="00DA0CBD" w:rsidRPr="00033275" w:rsidRDefault="00DA0CBD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E01B42" w:rsidRPr="00033275" w:rsidRDefault="00E01B42" w:rsidP="00E01B42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Com relação à Emenda Aditiva nº 01 vem acrescer maior claridade sobre o real período que a dação em pagamento alcançará, portanto, constitucional, legal e da mesma forma com ampla juridicidade.</w:t>
      </w:r>
    </w:p>
    <w:p w:rsidR="00E01B42" w:rsidRPr="00033275" w:rsidRDefault="00E01B4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2117ED" w:rsidRPr="00033275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E</w:t>
      </w:r>
      <w:r w:rsidR="0036537E" w:rsidRPr="00033275">
        <w:rPr>
          <w:sz w:val="26"/>
          <w:szCs w:val="26"/>
        </w:rPr>
        <w:t>ntende este parecerista</w:t>
      </w:r>
      <w:r w:rsidR="0012506E" w:rsidRPr="00033275">
        <w:rPr>
          <w:sz w:val="26"/>
          <w:szCs w:val="26"/>
        </w:rPr>
        <w:t xml:space="preserve">, portanto, </w:t>
      </w:r>
      <w:r w:rsidR="0036537E" w:rsidRPr="00033275">
        <w:rPr>
          <w:sz w:val="26"/>
          <w:szCs w:val="26"/>
        </w:rPr>
        <w:t xml:space="preserve">de acordo com o </w:t>
      </w:r>
      <w:r w:rsidR="001E1AD8" w:rsidRPr="00033275">
        <w:rPr>
          <w:sz w:val="26"/>
          <w:szCs w:val="26"/>
        </w:rPr>
        <w:t>Projeto de Lei 02/2017</w:t>
      </w:r>
      <w:r w:rsidR="00E01B42" w:rsidRPr="00033275">
        <w:rPr>
          <w:sz w:val="26"/>
          <w:szCs w:val="26"/>
        </w:rPr>
        <w:t xml:space="preserve"> e a respectiva emenda aditiva nº 01</w:t>
      </w:r>
      <w:r w:rsidR="001E1AD8" w:rsidRPr="00033275">
        <w:rPr>
          <w:sz w:val="26"/>
          <w:szCs w:val="26"/>
        </w:rPr>
        <w:t xml:space="preserve">, haja vista a presença dos requisitos permissivos para a dação em pagamento pela Administração Pública. </w:t>
      </w:r>
    </w:p>
    <w:p w:rsidR="001E1AD8" w:rsidRPr="00033275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033275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092469" w:rsidRPr="00033275">
        <w:rPr>
          <w:sz w:val="26"/>
          <w:szCs w:val="26"/>
        </w:rPr>
        <w:t xml:space="preserve"> e a emenda são </w:t>
      </w:r>
      <w:r w:rsidR="0045545F" w:rsidRPr="00033275">
        <w:rPr>
          <w:sz w:val="26"/>
          <w:szCs w:val="26"/>
        </w:rPr>
        <w:t>l</w:t>
      </w:r>
      <w:r w:rsidRPr="00033275">
        <w:rPr>
          <w:sz w:val="26"/>
          <w:szCs w:val="26"/>
        </w:rPr>
        <w:t>ega</w:t>
      </w:r>
      <w:r w:rsidR="00092469" w:rsidRPr="00033275">
        <w:rPr>
          <w:sz w:val="26"/>
          <w:szCs w:val="26"/>
        </w:rPr>
        <w:t>is</w:t>
      </w:r>
      <w:r w:rsidRPr="00033275">
        <w:rPr>
          <w:sz w:val="26"/>
          <w:szCs w:val="26"/>
        </w:rPr>
        <w:t xml:space="preserve"> e constituciona</w:t>
      </w:r>
      <w:r w:rsidR="00092469" w:rsidRPr="00033275">
        <w:rPr>
          <w:sz w:val="26"/>
          <w:szCs w:val="26"/>
        </w:rPr>
        <w:t>is</w:t>
      </w:r>
      <w:r w:rsidRPr="00033275">
        <w:rPr>
          <w:sz w:val="26"/>
          <w:szCs w:val="26"/>
        </w:rPr>
        <w:t>.</w:t>
      </w:r>
    </w:p>
    <w:p w:rsidR="0012506E" w:rsidRPr="00033275" w:rsidRDefault="0012506E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033275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>N</w:t>
      </w:r>
      <w:r w:rsidR="008146EC" w:rsidRPr="00033275">
        <w:rPr>
          <w:sz w:val="26"/>
          <w:szCs w:val="26"/>
        </w:rPr>
        <w:t>ão há</w:t>
      </w:r>
      <w:r w:rsidRPr="00033275">
        <w:rPr>
          <w:sz w:val="26"/>
          <w:szCs w:val="26"/>
        </w:rPr>
        <w:t xml:space="preserve">, portanto, </w:t>
      </w:r>
      <w:r w:rsidR="008146EC" w:rsidRPr="00033275">
        <w:rPr>
          <w:sz w:val="26"/>
          <w:szCs w:val="26"/>
        </w:rPr>
        <w:t xml:space="preserve">objeção quanto </w:t>
      </w:r>
      <w:r w:rsidR="00741AB4" w:rsidRPr="00033275">
        <w:rPr>
          <w:sz w:val="26"/>
          <w:szCs w:val="26"/>
        </w:rPr>
        <w:t>à</w:t>
      </w:r>
      <w:r w:rsidR="008146EC" w:rsidRPr="00033275">
        <w:rPr>
          <w:sz w:val="26"/>
          <w:szCs w:val="26"/>
        </w:rPr>
        <w:t xml:space="preserve"> constitucionalidade e</w:t>
      </w:r>
      <w:r w:rsidR="00741AB4" w:rsidRPr="00033275">
        <w:rPr>
          <w:sz w:val="26"/>
          <w:szCs w:val="26"/>
        </w:rPr>
        <w:t xml:space="preserve"> à</w:t>
      </w:r>
      <w:r w:rsidR="008146EC" w:rsidRPr="00033275">
        <w:rPr>
          <w:sz w:val="26"/>
          <w:szCs w:val="26"/>
        </w:rPr>
        <w:t xml:space="preserve"> legalidade do projeto</w:t>
      </w:r>
      <w:r w:rsidR="007208E9" w:rsidRPr="00033275">
        <w:rPr>
          <w:sz w:val="26"/>
          <w:szCs w:val="26"/>
        </w:rPr>
        <w:t xml:space="preserve"> e da emenda aditiva nº 01. </w:t>
      </w:r>
      <w:r w:rsidR="008146EC" w:rsidRPr="00033275">
        <w:rPr>
          <w:sz w:val="26"/>
          <w:szCs w:val="26"/>
        </w:rPr>
        <w:t>De outro lado cumpre os requisitos exigidos na legislação em vigor, estando garantida a juridicidade deles.</w:t>
      </w:r>
    </w:p>
    <w:p w:rsidR="00F72113" w:rsidRPr="00033275" w:rsidRDefault="00F72113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033275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033275">
        <w:rPr>
          <w:sz w:val="26"/>
          <w:szCs w:val="26"/>
        </w:rPr>
        <w:t xml:space="preserve">Por fim, o projeto </w:t>
      </w:r>
      <w:r w:rsidR="004D3AFD" w:rsidRPr="00033275">
        <w:rPr>
          <w:sz w:val="26"/>
          <w:szCs w:val="26"/>
        </w:rPr>
        <w:t xml:space="preserve">e emenda aditiva </w:t>
      </w:r>
      <w:r w:rsidRPr="00033275">
        <w:rPr>
          <w:sz w:val="26"/>
          <w:szCs w:val="26"/>
        </w:rPr>
        <w:t>encontra</w:t>
      </w:r>
      <w:r w:rsidR="004D3AFD" w:rsidRPr="00033275">
        <w:rPr>
          <w:sz w:val="26"/>
          <w:szCs w:val="26"/>
        </w:rPr>
        <w:t>m</w:t>
      </w:r>
      <w:r w:rsidRPr="00033275">
        <w:rPr>
          <w:sz w:val="26"/>
          <w:szCs w:val="26"/>
        </w:rPr>
        <w:t>-se redigido</w:t>
      </w:r>
      <w:r w:rsidR="004D3AFD" w:rsidRPr="00033275">
        <w:rPr>
          <w:sz w:val="26"/>
          <w:szCs w:val="26"/>
        </w:rPr>
        <w:t>s</w:t>
      </w:r>
      <w:r w:rsidRPr="00033275">
        <w:rPr>
          <w:sz w:val="26"/>
          <w:szCs w:val="26"/>
        </w:rPr>
        <w:t xml:space="preserve"> em boa técnica legislativa, respeitado</w:t>
      </w:r>
      <w:r w:rsidR="004D3AFD" w:rsidRPr="00033275">
        <w:rPr>
          <w:sz w:val="26"/>
          <w:szCs w:val="26"/>
        </w:rPr>
        <w:t>s</w:t>
      </w:r>
      <w:r w:rsidRPr="00033275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033275" w:rsidRDefault="00167E99" w:rsidP="00661172">
      <w:pPr>
        <w:jc w:val="both"/>
        <w:rPr>
          <w:sz w:val="26"/>
          <w:szCs w:val="26"/>
        </w:rPr>
      </w:pPr>
    </w:p>
    <w:p w:rsidR="00167E99" w:rsidRPr="00033275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033275">
        <w:rPr>
          <w:b/>
          <w:sz w:val="26"/>
          <w:szCs w:val="26"/>
          <w:u w:val="single"/>
        </w:rPr>
        <w:t>CONCLUSÃO</w:t>
      </w:r>
    </w:p>
    <w:p w:rsidR="00167E99" w:rsidRPr="00033275" w:rsidRDefault="00167E99" w:rsidP="00661172">
      <w:pPr>
        <w:jc w:val="both"/>
        <w:rPr>
          <w:sz w:val="26"/>
          <w:szCs w:val="26"/>
        </w:rPr>
      </w:pPr>
    </w:p>
    <w:p w:rsidR="00167E99" w:rsidRPr="00033275" w:rsidRDefault="00167E99" w:rsidP="00661172">
      <w:pPr>
        <w:jc w:val="both"/>
        <w:rPr>
          <w:sz w:val="26"/>
          <w:szCs w:val="26"/>
        </w:rPr>
      </w:pP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  <w:t xml:space="preserve">Assim, somos pela constitucionalidade, </w:t>
      </w:r>
      <w:r w:rsidR="00CE7942" w:rsidRPr="00033275">
        <w:rPr>
          <w:sz w:val="26"/>
          <w:szCs w:val="26"/>
        </w:rPr>
        <w:t xml:space="preserve">legalidade, </w:t>
      </w:r>
      <w:r w:rsidRPr="00033275">
        <w:rPr>
          <w:sz w:val="26"/>
          <w:szCs w:val="26"/>
        </w:rPr>
        <w:t>juridici</w:t>
      </w:r>
      <w:r w:rsidR="004154D6" w:rsidRPr="00033275">
        <w:rPr>
          <w:sz w:val="26"/>
          <w:szCs w:val="26"/>
        </w:rPr>
        <w:t>dade e boa técnica legislativa tanto do</w:t>
      </w:r>
      <w:r w:rsidRPr="00033275">
        <w:rPr>
          <w:sz w:val="26"/>
          <w:szCs w:val="26"/>
        </w:rPr>
        <w:t xml:space="preserve"> Projeto de </w:t>
      </w:r>
      <w:r w:rsidR="009B09B5" w:rsidRPr="00033275">
        <w:rPr>
          <w:sz w:val="26"/>
          <w:szCs w:val="26"/>
        </w:rPr>
        <w:t>Lei</w:t>
      </w:r>
      <w:r w:rsidR="00B202E5" w:rsidRPr="00033275">
        <w:rPr>
          <w:sz w:val="26"/>
          <w:szCs w:val="26"/>
        </w:rPr>
        <w:t xml:space="preserve"> </w:t>
      </w:r>
      <w:r w:rsidR="009B09B5" w:rsidRPr="00033275">
        <w:rPr>
          <w:sz w:val="26"/>
          <w:szCs w:val="26"/>
        </w:rPr>
        <w:t xml:space="preserve">nº </w:t>
      </w:r>
      <w:r w:rsidR="00A61236" w:rsidRPr="00033275">
        <w:rPr>
          <w:sz w:val="26"/>
          <w:szCs w:val="26"/>
        </w:rPr>
        <w:t>0</w:t>
      </w:r>
      <w:r w:rsidR="004B1958" w:rsidRPr="00033275">
        <w:rPr>
          <w:sz w:val="26"/>
          <w:szCs w:val="26"/>
        </w:rPr>
        <w:t>2</w:t>
      </w:r>
      <w:r w:rsidR="009B09B5" w:rsidRPr="00033275">
        <w:rPr>
          <w:sz w:val="26"/>
          <w:szCs w:val="26"/>
        </w:rPr>
        <w:t>/20</w:t>
      </w:r>
      <w:r w:rsidR="00CE7942" w:rsidRPr="00033275">
        <w:rPr>
          <w:sz w:val="26"/>
          <w:szCs w:val="26"/>
        </w:rPr>
        <w:t>1</w:t>
      </w:r>
      <w:r w:rsidR="00A61236" w:rsidRPr="00033275">
        <w:rPr>
          <w:sz w:val="26"/>
          <w:szCs w:val="26"/>
        </w:rPr>
        <w:t>7</w:t>
      </w:r>
      <w:r w:rsidR="004D3AFD" w:rsidRPr="00033275">
        <w:rPr>
          <w:sz w:val="26"/>
          <w:szCs w:val="26"/>
        </w:rPr>
        <w:t xml:space="preserve"> quanto pela Emenda Aditiva nº 01,</w:t>
      </w:r>
      <w:r w:rsidR="00170CEF" w:rsidRPr="00033275">
        <w:rPr>
          <w:sz w:val="26"/>
          <w:szCs w:val="26"/>
        </w:rPr>
        <w:t xml:space="preserve"> estando apto</w:t>
      </w:r>
      <w:r w:rsidR="004D3AFD" w:rsidRPr="00033275">
        <w:rPr>
          <w:sz w:val="26"/>
          <w:szCs w:val="26"/>
        </w:rPr>
        <w:t>s</w:t>
      </w:r>
      <w:r w:rsidR="004154D6" w:rsidRPr="00033275">
        <w:rPr>
          <w:sz w:val="26"/>
          <w:szCs w:val="26"/>
        </w:rPr>
        <w:t xml:space="preserve"> </w:t>
      </w:r>
      <w:r w:rsidR="009B09B5" w:rsidRPr="00033275">
        <w:rPr>
          <w:sz w:val="26"/>
          <w:szCs w:val="26"/>
        </w:rPr>
        <w:t>à tramitação, discussão e deliberação Plenária.</w:t>
      </w:r>
    </w:p>
    <w:p w:rsidR="00F72113" w:rsidRPr="00033275" w:rsidRDefault="00F72113" w:rsidP="00661172">
      <w:pPr>
        <w:jc w:val="both"/>
        <w:rPr>
          <w:sz w:val="26"/>
          <w:szCs w:val="26"/>
        </w:rPr>
      </w:pPr>
    </w:p>
    <w:p w:rsidR="00F72113" w:rsidRPr="00033275" w:rsidRDefault="00F72113" w:rsidP="00661172">
      <w:pPr>
        <w:jc w:val="both"/>
        <w:rPr>
          <w:sz w:val="26"/>
          <w:szCs w:val="26"/>
        </w:rPr>
      </w:pPr>
    </w:p>
    <w:p w:rsidR="00167E99" w:rsidRPr="00033275" w:rsidRDefault="00167E99" w:rsidP="00661172">
      <w:pPr>
        <w:jc w:val="both"/>
        <w:outlineLvl w:val="0"/>
        <w:rPr>
          <w:sz w:val="26"/>
          <w:szCs w:val="26"/>
        </w:rPr>
      </w:pP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</w:r>
      <w:r w:rsidRPr="00033275">
        <w:rPr>
          <w:sz w:val="26"/>
          <w:szCs w:val="26"/>
        </w:rPr>
        <w:tab/>
        <w:t xml:space="preserve">Este é o parecer </w:t>
      </w:r>
      <w:r w:rsidRPr="00033275">
        <w:rPr>
          <w:i/>
          <w:sz w:val="26"/>
          <w:szCs w:val="26"/>
        </w:rPr>
        <w:t>sub</w:t>
      </w:r>
      <w:r w:rsidR="00A85D07" w:rsidRPr="00033275">
        <w:rPr>
          <w:sz w:val="26"/>
          <w:szCs w:val="26"/>
        </w:rPr>
        <w:t xml:space="preserve"> censura</w:t>
      </w:r>
      <w:r w:rsidRPr="00033275">
        <w:rPr>
          <w:sz w:val="26"/>
          <w:szCs w:val="26"/>
        </w:rPr>
        <w:t>!</w:t>
      </w:r>
    </w:p>
    <w:p w:rsidR="00167E99" w:rsidRPr="00033275" w:rsidRDefault="00167E99" w:rsidP="00661172">
      <w:pPr>
        <w:jc w:val="both"/>
        <w:rPr>
          <w:sz w:val="26"/>
          <w:szCs w:val="26"/>
        </w:rPr>
      </w:pPr>
    </w:p>
    <w:p w:rsidR="00312DD9" w:rsidRPr="00033275" w:rsidRDefault="00312DD9" w:rsidP="00661172">
      <w:pPr>
        <w:jc w:val="both"/>
        <w:rPr>
          <w:sz w:val="26"/>
          <w:szCs w:val="26"/>
        </w:rPr>
      </w:pPr>
    </w:p>
    <w:p w:rsidR="00167E99" w:rsidRPr="00033275" w:rsidRDefault="009B09B5" w:rsidP="00661172">
      <w:pPr>
        <w:jc w:val="center"/>
        <w:outlineLvl w:val="0"/>
        <w:rPr>
          <w:b/>
          <w:sz w:val="26"/>
          <w:szCs w:val="26"/>
        </w:rPr>
      </w:pPr>
      <w:r w:rsidRPr="00033275">
        <w:rPr>
          <w:b/>
          <w:sz w:val="26"/>
          <w:szCs w:val="26"/>
        </w:rPr>
        <w:t xml:space="preserve">Cláudio </w:t>
      </w:r>
      <w:r w:rsidR="00167E99" w:rsidRPr="00033275">
        <w:rPr>
          <w:b/>
          <w:sz w:val="26"/>
          <w:szCs w:val="26"/>
        </w:rPr>
        <w:t xml:space="preserve">(MG), </w:t>
      </w:r>
      <w:r w:rsidR="00540B48" w:rsidRPr="00033275">
        <w:rPr>
          <w:b/>
          <w:sz w:val="26"/>
          <w:szCs w:val="26"/>
        </w:rPr>
        <w:t>28</w:t>
      </w:r>
      <w:r w:rsidR="00167E99" w:rsidRPr="00033275">
        <w:rPr>
          <w:b/>
          <w:sz w:val="26"/>
          <w:szCs w:val="26"/>
        </w:rPr>
        <w:t xml:space="preserve"> de </w:t>
      </w:r>
      <w:r w:rsidR="00026969" w:rsidRPr="00033275">
        <w:rPr>
          <w:b/>
          <w:sz w:val="26"/>
          <w:szCs w:val="26"/>
        </w:rPr>
        <w:t>março</w:t>
      </w:r>
      <w:r w:rsidR="00A61236" w:rsidRPr="00033275">
        <w:rPr>
          <w:b/>
          <w:sz w:val="26"/>
          <w:szCs w:val="26"/>
        </w:rPr>
        <w:t xml:space="preserve"> </w:t>
      </w:r>
      <w:r w:rsidR="00167E99" w:rsidRPr="00033275">
        <w:rPr>
          <w:b/>
          <w:sz w:val="26"/>
          <w:szCs w:val="26"/>
        </w:rPr>
        <w:t>de 20</w:t>
      </w:r>
      <w:r w:rsidRPr="00033275">
        <w:rPr>
          <w:b/>
          <w:sz w:val="26"/>
          <w:szCs w:val="26"/>
        </w:rPr>
        <w:t>1</w:t>
      </w:r>
      <w:r w:rsidR="00170CEF" w:rsidRPr="00033275">
        <w:rPr>
          <w:b/>
          <w:sz w:val="26"/>
          <w:szCs w:val="26"/>
        </w:rPr>
        <w:t>6</w:t>
      </w:r>
      <w:r w:rsidR="00167E99" w:rsidRPr="00033275">
        <w:rPr>
          <w:b/>
          <w:sz w:val="26"/>
          <w:szCs w:val="26"/>
        </w:rPr>
        <w:t>.</w:t>
      </w:r>
    </w:p>
    <w:p w:rsidR="00167E99" w:rsidRPr="00033275" w:rsidRDefault="00167E99" w:rsidP="00661172">
      <w:pPr>
        <w:rPr>
          <w:b/>
          <w:sz w:val="26"/>
          <w:szCs w:val="26"/>
        </w:rPr>
      </w:pPr>
    </w:p>
    <w:p w:rsidR="002565BB" w:rsidRPr="00033275" w:rsidRDefault="002565BB" w:rsidP="00661172">
      <w:pPr>
        <w:rPr>
          <w:b/>
          <w:sz w:val="26"/>
          <w:szCs w:val="26"/>
        </w:rPr>
      </w:pPr>
    </w:p>
    <w:p w:rsidR="00067D39" w:rsidRPr="00033275" w:rsidRDefault="00067D39" w:rsidP="00661172">
      <w:pPr>
        <w:jc w:val="center"/>
        <w:outlineLvl w:val="0"/>
        <w:rPr>
          <w:b/>
          <w:sz w:val="26"/>
          <w:szCs w:val="26"/>
        </w:rPr>
      </w:pPr>
      <w:r w:rsidRPr="00033275">
        <w:rPr>
          <w:b/>
          <w:sz w:val="26"/>
          <w:szCs w:val="26"/>
        </w:rPr>
        <w:t>Assessoria Jurídica</w:t>
      </w:r>
    </w:p>
    <w:p w:rsidR="00167E99" w:rsidRPr="00033275" w:rsidRDefault="007D7907" w:rsidP="00661172">
      <w:pPr>
        <w:jc w:val="center"/>
        <w:outlineLvl w:val="0"/>
        <w:rPr>
          <w:b/>
          <w:sz w:val="26"/>
          <w:szCs w:val="26"/>
        </w:rPr>
      </w:pPr>
      <w:r w:rsidRPr="00033275">
        <w:rPr>
          <w:b/>
          <w:sz w:val="26"/>
          <w:szCs w:val="26"/>
        </w:rPr>
        <w:t>André Fernandes de Castro</w:t>
      </w:r>
      <w:r w:rsidR="00170CEF" w:rsidRPr="00033275">
        <w:rPr>
          <w:b/>
          <w:sz w:val="26"/>
          <w:szCs w:val="26"/>
        </w:rPr>
        <w:t xml:space="preserve"> </w:t>
      </w:r>
    </w:p>
    <w:p w:rsidR="00DA0CBD" w:rsidRDefault="009B09B5" w:rsidP="00661172">
      <w:pPr>
        <w:jc w:val="center"/>
        <w:rPr>
          <w:rFonts w:ascii="Arial" w:hAnsi="Arial" w:cs="Arial"/>
          <w:b/>
          <w:sz w:val="26"/>
          <w:szCs w:val="26"/>
        </w:rPr>
      </w:pPr>
      <w:r w:rsidRPr="00033275">
        <w:rPr>
          <w:b/>
          <w:sz w:val="26"/>
          <w:szCs w:val="26"/>
        </w:rPr>
        <w:t xml:space="preserve">OAB-MG </w:t>
      </w:r>
      <w:r w:rsidR="007D7907" w:rsidRPr="00033275">
        <w:rPr>
          <w:b/>
          <w:sz w:val="26"/>
          <w:szCs w:val="26"/>
        </w:rPr>
        <w:t>96.637</w:t>
      </w:r>
      <w:bookmarkStart w:id="0" w:name="_GoBack"/>
      <w:bookmarkEnd w:id="0"/>
    </w:p>
    <w:sectPr w:rsidR="00DA0CBD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4" w:rsidRDefault="002A1634" w:rsidP="005953A0">
      <w:r>
        <w:separator/>
      </w:r>
    </w:p>
  </w:endnote>
  <w:endnote w:type="continuationSeparator" w:id="0">
    <w:p w:rsidR="002A1634" w:rsidRDefault="002A163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2A1634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F15">
      <w:rPr>
        <w:noProof/>
      </w:rPr>
      <w:t>4</w:t>
    </w:r>
    <w:r>
      <w:rPr>
        <w:noProof/>
      </w:rPr>
      <w:fldChar w:fldCharType="end"/>
    </w:r>
    <w:r w:rsidR="00F379BA">
      <w:t>/</w:t>
    </w:r>
    <w:r w:rsidR="005F4739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5F4739">
      <w:rPr>
        <w:rStyle w:val="Nmerodepgina"/>
      </w:rPr>
      <w:fldChar w:fldCharType="separate"/>
    </w:r>
    <w:r w:rsidR="00A00F15">
      <w:rPr>
        <w:rStyle w:val="Nmerodepgina"/>
        <w:noProof/>
      </w:rPr>
      <w:t>4</w:t>
    </w:r>
    <w:r w:rsidR="005F4739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4" w:rsidRDefault="002A1634" w:rsidP="005953A0">
      <w:r>
        <w:separator/>
      </w:r>
    </w:p>
  </w:footnote>
  <w:footnote w:type="continuationSeparator" w:id="0">
    <w:p w:rsidR="002A1634" w:rsidRDefault="002A163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5BFE"/>
    <w:rsid w:val="0009062B"/>
    <w:rsid w:val="00092469"/>
    <w:rsid w:val="000A5B57"/>
    <w:rsid w:val="000B1352"/>
    <w:rsid w:val="000B24D0"/>
    <w:rsid w:val="000B3AF0"/>
    <w:rsid w:val="000C47CA"/>
    <w:rsid w:val="000C608C"/>
    <w:rsid w:val="000C7A66"/>
    <w:rsid w:val="000D3B57"/>
    <w:rsid w:val="000D56C4"/>
    <w:rsid w:val="000F04C9"/>
    <w:rsid w:val="000F29A7"/>
    <w:rsid w:val="000F5839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3243"/>
    <w:rsid w:val="00145807"/>
    <w:rsid w:val="00153B48"/>
    <w:rsid w:val="001557FB"/>
    <w:rsid w:val="00160C46"/>
    <w:rsid w:val="0016300D"/>
    <w:rsid w:val="00167E99"/>
    <w:rsid w:val="00170CEF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F9B"/>
    <w:rsid w:val="002117ED"/>
    <w:rsid w:val="00250415"/>
    <w:rsid w:val="002565BB"/>
    <w:rsid w:val="00260C2A"/>
    <w:rsid w:val="002A1634"/>
    <w:rsid w:val="002B2337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47D47"/>
    <w:rsid w:val="003645FC"/>
    <w:rsid w:val="0036537E"/>
    <w:rsid w:val="00366430"/>
    <w:rsid w:val="00367AEC"/>
    <w:rsid w:val="00390A59"/>
    <w:rsid w:val="00396851"/>
    <w:rsid w:val="00397355"/>
    <w:rsid w:val="00397C2A"/>
    <w:rsid w:val="003B4934"/>
    <w:rsid w:val="003C05A9"/>
    <w:rsid w:val="003D3E4C"/>
    <w:rsid w:val="003D7C5A"/>
    <w:rsid w:val="003E3B9F"/>
    <w:rsid w:val="003E4724"/>
    <w:rsid w:val="003F5B6D"/>
    <w:rsid w:val="0040760B"/>
    <w:rsid w:val="004154D6"/>
    <w:rsid w:val="00416434"/>
    <w:rsid w:val="0042642C"/>
    <w:rsid w:val="00446FF5"/>
    <w:rsid w:val="00453859"/>
    <w:rsid w:val="0045545F"/>
    <w:rsid w:val="004628DE"/>
    <w:rsid w:val="00467542"/>
    <w:rsid w:val="00481434"/>
    <w:rsid w:val="00481C3C"/>
    <w:rsid w:val="00482EBA"/>
    <w:rsid w:val="00483475"/>
    <w:rsid w:val="00495D06"/>
    <w:rsid w:val="004A5770"/>
    <w:rsid w:val="004B1958"/>
    <w:rsid w:val="004B62E1"/>
    <w:rsid w:val="004C074D"/>
    <w:rsid w:val="004C7BE6"/>
    <w:rsid w:val="004D29D5"/>
    <w:rsid w:val="004D3AFD"/>
    <w:rsid w:val="004D4DAE"/>
    <w:rsid w:val="004E7915"/>
    <w:rsid w:val="004F589E"/>
    <w:rsid w:val="00505D36"/>
    <w:rsid w:val="00511867"/>
    <w:rsid w:val="00517CB7"/>
    <w:rsid w:val="00532161"/>
    <w:rsid w:val="00540B48"/>
    <w:rsid w:val="00563C5D"/>
    <w:rsid w:val="00563EB9"/>
    <w:rsid w:val="005825FC"/>
    <w:rsid w:val="005858CF"/>
    <w:rsid w:val="005904CB"/>
    <w:rsid w:val="005953A0"/>
    <w:rsid w:val="00597E35"/>
    <w:rsid w:val="005A31AD"/>
    <w:rsid w:val="005A6025"/>
    <w:rsid w:val="005A7ABD"/>
    <w:rsid w:val="005B16EF"/>
    <w:rsid w:val="005B1A23"/>
    <w:rsid w:val="005C1E8F"/>
    <w:rsid w:val="005D6980"/>
    <w:rsid w:val="005D6E4A"/>
    <w:rsid w:val="005E3923"/>
    <w:rsid w:val="005E5764"/>
    <w:rsid w:val="005F4739"/>
    <w:rsid w:val="005F6F2D"/>
    <w:rsid w:val="00640033"/>
    <w:rsid w:val="00641CB7"/>
    <w:rsid w:val="006441C3"/>
    <w:rsid w:val="00657605"/>
    <w:rsid w:val="00661172"/>
    <w:rsid w:val="00684E6E"/>
    <w:rsid w:val="006943C2"/>
    <w:rsid w:val="006A35FF"/>
    <w:rsid w:val="006A6481"/>
    <w:rsid w:val="006B38C1"/>
    <w:rsid w:val="006B3949"/>
    <w:rsid w:val="006B4B47"/>
    <w:rsid w:val="006B6787"/>
    <w:rsid w:val="006E0F19"/>
    <w:rsid w:val="006F1F34"/>
    <w:rsid w:val="00701D7D"/>
    <w:rsid w:val="00702C52"/>
    <w:rsid w:val="007035B4"/>
    <w:rsid w:val="0071591C"/>
    <w:rsid w:val="007208E9"/>
    <w:rsid w:val="007408D8"/>
    <w:rsid w:val="00741AB4"/>
    <w:rsid w:val="00741EFD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1B4E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6A3E"/>
    <w:rsid w:val="00852E2D"/>
    <w:rsid w:val="00870348"/>
    <w:rsid w:val="00871179"/>
    <w:rsid w:val="00871F47"/>
    <w:rsid w:val="00872135"/>
    <w:rsid w:val="00896C18"/>
    <w:rsid w:val="0089756B"/>
    <w:rsid w:val="008C4FD5"/>
    <w:rsid w:val="008D4258"/>
    <w:rsid w:val="008D7FCB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17CC"/>
    <w:rsid w:val="00990391"/>
    <w:rsid w:val="0099229D"/>
    <w:rsid w:val="00993F7B"/>
    <w:rsid w:val="009B09B5"/>
    <w:rsid w:val="009D2CDE"/>
    <w:rsid w:val="009E3D80"/>
    <w:rsid w:val="009E66C4"/>
    <w:rsid w:val="00A00F15"/>
    <w:rsid w:val="00A02311"/>
    <w:rsid w:val="00A05A56"/>
    <w:rsid w:val="00A10D0F"/>
    <w:rsid w:val="00A13F6E"/>
    <w:rsid w:val="00A15CF4"/>
    <w:rsid w:val="00A16218"/>
    <w:rsid w:val="00A1655F"/>
    <w:rsid w:val="00A61236"/>
    <w:rsid w:val="00A63247"/>
    <w:rsid w:val="00A7549A"/>
    <w:rsid w:val="00A80411"/>
    <w:rsid w:val="00A85D07"/>
    <w:rsid w:val="00A877FD"/>
    <w:rsid w:val="00AB53AF"/>
    <w:rsid w:val="00AB7E44"/>
    <w:rsid w:val="00AC292A"/>
    <w:rsid w:val="00AC5A73"/>
    <w:rsid w:val="00AE0AFF"/>
    <w:rsid w:val="00AE4EE3"/>
    <w:rsid w:val="00AF3D49"/>
    <w:rsid w:val="00AF45C2"/>
    <w:rsid w:val="00B16005"/>
    <w:rsid w:val="00B202E5"/>
    <w:rsid w:val="00B206CB"/>
    <w:rsid w:val="00B23387"/>
    <w:rsid w:val="00B258EB"/>
    <w:rsid w:val="00B279F6"/>
    <w:rsid w:val="00B31B65"/>
    <w:rsid w:val="00B441DA"/>
    <w:rsid w:val="00B71C92"/>
    <w:rsid w:val="00B8199D"/>
    <w:rsid w:val="00B83582"/>
    <w:rsid w:val="00B84570"/>
    <w:rsid w:val="00B86A5D"/>
    <w:rsid w:val="00BA0E3F"/>
    <w:rsid w:val="00BA26A1"/>
    <w:rsid w:val="00BA66C8"/>
    <w:rsid w:val="00BD1EA0"/>
    <w:rsid w:val="00BE0EA8"/>
    <w:rsid w:val="00BE7521"/>
    <w:rsid w:val="00BF04B8"/>
    <w:rsid w:val="00C03DC3"/>
    <w:rsid w:val="00C13373"/>
    <w:rsid w:val="00C2637B"/>
    <w:rsid w:val="00C80986"/>
    <w:rsid w:val="00C84707"/>
    <w:rsid w:val="00C8651A"/>
    <w:rsid w:val="00CA4C72"/>
    <w:rsid w:val="00CB2F1A"/>
    <w:rsid w:val="00CC4FDE"/>
    <w:rsid w:val="00CD6160"/>
    <w:rsid w:val="00CE63D2"/>
    <w:rsid w:val="00CE6BA5"/>
    <w:rsid w:val="00CE6BF4"/>
    <w:rsid w:val="00CE7671"/>
    <w:rsid w:val="00CE7942"/>
    <w:rsid w:val="00D15010"/>
    <w:rsid w:val="00D17966"/>
    <w:rsid w:val="00D45F5B"/>
    <w:rsid w:val="00D524A6"/>
    <w:rsid w:val="00D60668"/>
    <w:rsid w:val="00D72389"/>
    <w:rsid w:val="00D74AAF"/>
    <w:rsid w:val="00DA0CBD"/>
    <w:rsid w:val="00DA7F38"/>
    <w:rsid w:val="00DC5595"/>
    <w:rsid w:val="00DD20A3"/>
    <w:rsid w:val="00DD4917"/>
    <w:rsid w:val="00DD5192"/>
    <w:rsid w:val="00DE0F18"/>
    <w:rsid w:val="00DE2034"/>
    <w:rsid w:val="00DF012A"/>
    <w:rsid w:val="00DF5BAC"/>
    <w:rsid w:val="00E01B42"/>
    <w:rsid w:val="00E172B0"/>
    <w:rsid w:val="00E31538"/>
    <w:rsid w:val="00E36978"/>
    <w:rsid w:val="00E51184"/>
    <w:rsid w:val="00E66F3A"/>
    <w:rsid w:val="00E66FFB"/>
    <w:rsid w:val="00E90D25"/>
    <w:rsid w:val="00E92AB1"/>
    <w:rsid w:val="00EC206C"/>
    <w:rsid w:val="00EC5FE2"/>
    <w:rsid w:val="00EE2596"/>
    <w:rsid w:val="00EF2D9B"/>
    <w:rsid w:val="00F047D4"/>
    <w:rsid w:val="00F113B0"/>
    <w:rsid w:val="00F11E3B"/>
    <w:rsid w:val="00F2048C"/>
    <w:rsid w:val="00F204CC"/>
    <w:rsid w:val="00F2651C"/>
    <w:rsid w:val="00F337E9"/>
    <w:rsid w:val="00F379BA"/>
    <w:rsid w:val="00F50EE2"/>
    <w:rsid w:val="00F703D9"/>
    <w:rsid w:val="00F72113"/>
    <w:rsid w:val="00FC1446"/>
    <w:rsid w:val="00FC2EB8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2017-03-29T19:07:00Z</cp:lastPrinted>
  <dcterms:created xsi:type="dcterms:W3CDTF">2017-03-29T19:08:00Z</dcterms:created>
  <dcterms:modified xsi:type="dcterms:W3CDTF">2017-03-29T19:08:00Z</dcterms:modified>
</cp:coreProperties>
</file>